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cohort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native English writers and Iranian non-native writers, and coded hedges according to Crompton’s (1997) taxonomy. Native English writers used more hedging devices overall. Non-native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Hu and Cao (2011) add publication medium and evidence type.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For developing writers in L2 settings, that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Non-native writers used a severely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native and non-native writers of English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rPr>
        <w:t>Takimoto (2015) adds a recognition layer. In a corpus comparison of academic essays by Japanese EFL learners and native speakers of English, the EFL group used more boosters than hedges and preferred straightforward, explicit expressions, whereas native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native speakers,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native English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 Halabisaz et al. (2014) attributed native-non-native differences in applied-linguistics master's abstracts to rhetorical sensitivity and cultural background as well as to form.</w:t>
      </w:r>
    </w:p>
    <w:p>
      <w:pPr>
        <w:spacing w:line="480" w:lineRule="auto" w:before="0" w:after="0"/>
        <w:ind w:firstLine="720"/>
        <w:jc w:val="both"/>
      </w:pPr>
      <w:r>
        <w:rPr>
          <w:rFonts w:ascii="Georgia" w:hAnsi="Georgia" w:cs="Georgia"/>
        </w:rPr>
        <w:t>Undergraduate thesis abstracts, the genre closest to the present corpus, show the same L2 pressures. Mazidah et al. (2022) compared hedges and boosters in 50 undergraduate thesis abstracts from English Language Education and Mathematics students at an Indonesian university, using Hyland's (2005) taxonomy. Boosters outnumbered hedges overall, and the authors link heavy booster use and limited hedge variety to incomplete knowledge of English academic rhetoric. Ghia et al. (2022) examined 217 English thesis abstracts by advanced Italian EFL undergraduates and compared them with L1 student writing in MICUSP. The EFL writers used fewer hedges and more boosters and certainty modals than the L1 comparison group, even while displaying partial awareness of academic caution.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specialist-informant views on L2 difficulty. Informants attributed second-language learners' inability to modulate claims to socio-cultural factors, classroom instruction, disciplinary culture, and disciplinary appeals, and stressed that pragmatic fluency in hedging is teachable rather than automatic. Ningrum et al. (2024) document limited hedge inventories and a preference for boosters among ASEAN EFL learners writing academic texts. Lopez et al. (2025) and Escalona (2025) extend the Philippine and college-essay evidence on caution, certainty, and proficiency-related patterns in student writing.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r>
        <w:t>Mazidah, Cahyani, and Masruroh (2022) compared hedges and boosters in 50 undergraduate thesis abstracts at Qomaruddin University, 25 from English Language Education and 25 from Mathematics, using Hyland's (2005) taxonomy. English abstracts used more hedges. Mathematics abstracts used more boosters. The soft-versus-hard contrast in the same undergraduate thesis-abstract genre matches the graduate pattern reported by Wahyuningsih and Sofwan (2014).</w:t>
      </w:r>
    </w:p>
    <w:p>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sidDel="00000000" w:rsidR="00000000" w:rsidRPr="00000000">
        <w:rPr>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strike w:val="0"/>
          <w:rtl w:val="0"/>
        </w:rPr>
        <w:t>Ambiguous forms such as can, potential, indicating, and possibility may function either as epistemic hedges or as non-epistemic lexical items depending on context. The following decision rules show how the claim condition and removal checks apply. First, “can” combined with an active content verb describing a treatment effect (enhance, promote, reduce, help) fails as a claim-mitigator when it only marks capability (false positive), because removing “can” does not raise the claim’s epistemic weight when the host is ability rather than a finding under doubt.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(false positive) rather than inferential hedges. Third, for “potential + noun,” structural position is how the claim condition applies. Aim and methods clauses are non-claims (what the study set out to do), so “potential” there fails the claim condition and is coded false positive, as when an abstract “explores the potential antifungal properties” of a plant or names “potential pharmaceutical applications” as the object of further study. Results and conclusion frames that qualify a finding-claim remain claims, so “potential” can pass the claim condition and, if the Working Test holds, is coded Lexical epistemic caution. When removing the token clearly changes the epistemic weight of a proposition, for example when “presence of potential mycobacterial infections” becomes an asserted presence claim without the modifier, the token is coded Lexical epistemic caution. The same claim-condition treatment applies to “possibility + noun” in aim and method sentences. Fourth, when a sentence contains multiple hedge-like tokens, each is tested on its own host clause under the claim condition and the two removal checks. A preceding hedge such as “suggest” is coded separately and does not determine the function of “can.”</w:t>
      </w:r>
    </w:p>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7A">
      <w:pPr>
        <w:keepNext w:val="1"/>
        <w:spacing w:after="0" w:before="240" w:line="480" w:lineRule="auto"/>
        <w:jc w:val="center"/>
        <w:rPr/>
      </w:pPr>
      <w:r w:rsidDel="00000000" w:rsidR="00000000" w:rsidRPr="00000000">
        <w:rPr>
          <w:b w:val="1"/>
          <w:bCs w:val="1"/>
          <w:rtl w:val="0"/>
        </w:rPr>
        <w:t xml:space="preserve">Table 1</w:t>
      </w:r>
      <w:r w:rsidDel="00000000" w:rsidR="00000000" w:rsidRPr="00000000">
        <w:rPr>
          <w:rtl w:val="0"/>
        </w:rPr>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sidDel="00000000" w:rsidR="00000000" w:rsidRPr="00000000">
        <w:rPr>
          <w:rtl w:val="0"/>
        </w:rPr>
        <w:t xml:space="preserve">Table 1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sidDel="00000000" w:rsidR="00000000" w:rsidRPr="00000000">
        <w:rPr>
          <w:strike w:val="0"/>
          <w:rtl w:val="0"/>
        </w:rPr>
        <w:t xml:space="preserve">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 Table 2 presents the distribution of hedge types across the full corpus.</w:t>
      </w:r>
      <w:r w:rsidDel="00000000" w:rsidR="00000000" w:rsidRPr="00000000">
        <w:rPr>
          <w:rtl w:val="0"/>
        </w:rPr>
      </w:r>
    </w:p>
    <w:p w:rsidR="00000000" w:rsidDel="00000000" w:rsidP="00000000" w:rsidRDefault="00000000" w:rsidRPr="00000000" w14:paraId="000000A9">
      <w:pPr>
        <w:keepNext w:val="1"/>
        <w:pageBreakBefore w:val="1"/>
        <w:spacing w:after="0" w:before="720" w:line="480" w:lineRule="auto"/>
        <w:jc w:val="center"/>
        <w:rPr/>
      </w:pPr>
      <w:r w:rsidDel="00000000" w:rsidR="00000000" w:rsidRPr="00000000">
        <w:rPr>
          <w:b w:val="1"/>
          <w:bCs w:val="1"/>
          <w:rtl w:val="0"/>
        </w:rPr>
        <w:t xml:space="preserve">Table 2</w:t>
      </w:r>
      <w:r w:rsidDel="00000000" w:rsidR="00000000" w:rsidRPr="00000000">
        <w:rPr>
          <w:rtl w:val="0"/>
        </w:rPr>
      </w:r>
    </w:p>
    <w:p w:rsidR="00000000" w:rsidDel="00000000" w:rsidP="00000000" w:rsidRDefault="00000000" w:rsidRPr="00000000" w14:paraId="000000AA">
      <w:pPr>
        <w:keepNext w:val="1"/>
        <w:spacing w:after="60" w:before="0" w:line="480" w:lineRule="auto"/>
        <w:jc w:val="center"/>
        <w:rPr/>
      </w:pPr>
      <w:r w:rsidDel="00000000" w:rsidR="00000000" w:rsidRPr="00000000">
        <w:rPr>
          <w:rtl w:val="0"/>
        </w:rPr>
        <w:t xml:space="preserve">Hedge Type Distribution Across the Corpus</w:t>
      </w:r>
    </w:p>
    <w:tbl>
      <w:tblPr>
        <w:tblStyle w:val="Table2"/>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AB">
            <w:pPr>
              <w:spacing w:after="0" w:before="0" w:line="480" w:lineRule="auto"/>
              <w:rPr>
                <w:sz w:val="18"/>
                <w:szCs w:val="18"/>
              </w:rPr>
            </w:pPr>
            <w:r w:rsidDel="00000000" w:rsidR="00000000" w:rsidRPr="00000000">
              <w:rPr>
                <w:b w:val="1"/>
                <w:bCs w:val="1"/>
                <w:i w:val="0"/>
                <w:iCs w:val="0"/>
                <w:sz w:val="18"/>
                <w:szCs w:val="18"/>
                <w:rtl w:val="0"/>
              </w:rPr>
              <w:t xml:space="preserve">Hedge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AC">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0" w:before="0" w:line="480" w:lineRule="auto"/>
              <w:rPr>
                <w:sz w:val="18"/>
                <w:szCs w:val="18"/>
              </w:rPr>
            </w:pPr>
            <w:r w:rsidDel="00000000" w:rsidR="00000000" w:rsidRPr="00000000">
              <w:rPr>
                <w:i w:val="0"/>
                <w:iCs w:val="0"/>
                <w:sz w:val="18"/>
                <w:szCs w:val="18"/>
                <w:rtl w:val="0"/>
              </w:rPr>
              <w:t xml:space="preserve">Modal Verbs</w:t>
            </w:r>
            <w:r w:rsidDel="00000000" w:rsidR="00000000" w:rsidRPr="00000000">
              <w:rPr>
                <w:rtl w:val="0"/>
              </w:rPr>
            </w:r>
          </w:p>
        </w:tc>
        <w:tc>
          <w:tcPr/>
          <w:p w:rsidR="00000000" w:rsidDel="00000000" w:rsidP="00000000" w:rsidRDefault="00000000" w:rsidRPr="00000000" w14:paraId="000000AF">
            <w:pPr>
              <w:spacing w:after="0" w:before="0" w:line="480" w:lineRule="auto"/>
              <w:rPr>
                <w:sz w:val="18"/>
                <w:szCs w:val="18"/>
              </w:rPr>
            </w:pPr>
            <w:r w:rsidDel="00000000" w:rsidR="00000000" w:rsidRPr="00000000">
              <w:rPr>
                <w:sz w:val="18"/>
                <w:szCs w:val="18"/>
                <w:rtl w:val="0"/>
              </w:rPr>
              <w:t xml:space="preserve">20</w:t>
            </w:r>
          </w:p>
        </w:tc>
      </w:tr>
      <w:tr>
        <w:trPr>
          <w:cantSplit w:val="1"/>
          <w:tblHeader w:val="0"/>
        </w:trPr>
        <w:tc>
          <w:tcPr/>
          <w:p w:rsidR="00000000" w:rsidDel="00000000" w:rsidP="00000000" w:rsidRDefault="00000000" w:rsidRPr="00000000" w14:paraId="000000B1">
            <w:pPr>
              <w:spacing w:after="0" w:before="0" w:line="480" w:lineRule="auto"/>
              <w:rPr>
                <w:sz w:val="18"/>
                <w:szCs w:val="18"/>
              </w:rPr>
            </w:pPr>
            <w:r w:rsidDel="00000000" w:rsidR="00000000" w:rsidRPr="00000000">
              <w:rPr>
                <w:i w:val="0"/>
                <w:iCs w:val="0"/>
                <w:sz w:val="18"/>
                <w:szCs w:val="18"/>
                <w:rtl w:val="0"/>
              </w:rPr>
              <w:t xml:space="preserve">Lexical Hedges</w:t>
            </w:r>
            <w:r w:rsidDel="00000000" w:rsidR="00000000" w:rsidRPr="00000000">
              <w:rPr>
                <w:rtl w:val="0"/>
              </w:rPr>
            </w:r>
          </w:p>
        </w:tc>
        <w:tc>
          <w:tcPr/>
          <w:p w:rsidR="00000000" w:rsidDel="00000000" w:rsidP="00000000" w:rsidRDefault="00000000" w:rsidRPr="00000000" w14:paraId="000000B2">
            <w:pPr>
              <w:spacing w:after="0" w:before="0" w:line="480" w:lineRule="auto"/>
              <w:rPr>
                <w:sz w:val="18"/>
                <w:szCs w:val="18"/>
              </w:rPr>
            </w:pPr>
            <w:r w:rsidDel="00000000" w:rsidR="00000000" w:rsidRPr="00000000">
              <w:rPr>
                <w:sz w:val="18"/>
                <w:szCs w:val="18"/>
                <w:rtl w:val="0"/>
              </w:rPr>
              <w:t xml:space="preserve">42</w:t>
            </w:r>
          </w:p>
        </w:tc>
      </w:tr>
      <w:tr>
        <w:trPr>
          <w:cantSplit w:val="1"/>
          <w:tblHeader w:val="0"/>
        </w:trPr>
        <w:tc>
          <w:tcPr/>
          <w:p w:rsidR="00000000" w:rsidDel="00000000" w:rsidP="00000000" w:rsidRDefault="00000000" w:rsidRPr="00000000" w14:paraId="000000B4">
            <w:pPr>
              <w:spacing w:after="0" w:before="0" w:line="480" w:lineRule="auto"/>
              <w:rPr>
                <w:sz w:val="18"/>
                <w:szCs w:val="18"/>
              </w:rPr>
            </w:pPr>
            <w:r w:rsidDel="00000000" w:rsidR="00000000" w:rsidRPr="00000000">
              <w:rPr>
                <w:i w:val="0"/>
                <w:iCs w:val="0"/>
                <w:sz w:val="18"/>
                <w:szCs w:val="18"/>
                <w:rtl w:val="0"/>
              </w:rPr>
              <w:t xml:space="preserve">Adverbial Hedges</w:t>
            </w:r>
            <w:r w:rsidDel="00000000" w:rsidR="00000000" w:rsidRPr="00000000">
              <w:rPr>
                <w:rtl w:val="0"/>
              </w:rPr>
            </w:r>
          </w:p>
        </w:tc>
        <w:tc>
          <w:tcPr/>
          <w:p w:rsidR="00000000" w:rsidDel="00000000" w:rsidP="00000000" w:rsidRDefault="00000000" w:rsidRPr="00000000" w14:paraId="000000B5">
            <w:pPr>
              <w:spacing w:after="0" w:before="0" w:line="480" w:lineRule="auto"/>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B7">
            <w:pPr>
              <w:spacing w:after="0" w:before="0" w:line="480" w:lineRule="auto"/>
              <w:rPr>
                <w:sz w:val="18"/>
                <w:szCs w:val="18"/>
              </w:rPr>
            </w:pPr>
            <w:r w:rsidDel="00000000" w:rsidR="00000000" w:rsidRPr="00000000">
              <w:rPr>
                <w:i w:val="0"/>
                <w:iCs w:val="0"/>
                <w:sz w:val="18"/>
                <w:szCs w:val="18"/>
                <w:rtl w:val="0"/>
              </w:rPr>
              <w:t xml:space="preserve">Clause-Level Hedges</w:t>
            </w:r>
            <w:r w:rsidDel="00000000" w:rsidR="00000000" w:rsidRPr="00000000">
              <w:rPr>
                <w:rtl w:val="0"/>
              </w:rPr>
            </w:r>
          </w:p>
        </w:tc>
        <w:tc>
          <w:tcPr/>
          <w:p w:rsidR="00000000" w:rsidDel="00000000" w:rsidP="00000000" w:rsidRDefault="00000000" w:rsidRPr="00000000" w14:paraId="000000B8">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BA">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0BB">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0BD">
      <w:pPr>
        <w:spacing w:after="0" w:before="240" w:line="480" w:lineRule="auto"/>
        <w:ind w:firstLine="720"/>
        <w:jc w:val="both"/>
        <w:rPr/>
      </w:pPr>
      <w:r w:rsidDel="00000000" w:rsidR="00000000" w:rsidRPr="00000000">
        <w:rPr>
          <w:strike w:val="0"/>
          <w:rtl w:val="0"/>
        </w:rPr>
        <w:t>Table 2 presents the overall distribution of hedge types. Lexical hedges dominated the corpus with 42 instances, followed by modal verbs with 20 instances, and adverbial hedges with 3 instances. No clause-level hedges were identified in any of the 60 abstracts. The literature reports modal verbs as the most frequent hedge type in developing researchers' writing (Khunasathitchai et al., 2025; Wang, 2022). This corpus differs: lexical hedges outnumber modal verbs.</w:t>
      </w:r>
    </w:p>
    <w:p w:rsidR="00000000" w:rsidDel="00000000" w:rsidP="00000000" w:rsidRDefault="00000000" w:rsidRPr="00000000" w14:paraId="000000BE">
      <w:pPr>
        <w:spacing w:after="0" w:before="0" w:line="480" w:lineRule="auto"/>
        <w:ind w:firstLine="720"/>
        <w:jc w:val="both"/>
        <w:rPr/>
      </w:pPr>
      <w:r w:rsidDel="00000000" w:rsidR="00000000" w:rsidRPr="00000000">
        <w:rPr>
          <w:strike w:val="0"/>
          <w:rtl w:val="0"/>
        </w:rPr>
        <w:t>Within the lexical hedge category, the token “potential” accounted for 19 of the 42 lexical instances, the single most frequent hedge token in the corpus. Other frequent lexical forms, grouped by root, included “suggest / suggests / suggesting” (13), “imply / implies / implying” (3), and “indicating / indicates” (3). Modal verbs were led by “could” (6), “may” (6), “can” (5), and “might” (3). The 19 potential instances show recurring frames such as “the potential of X as a Y,” “has potential as an X,” and “highlight their potential as X.” Whether those uses express epistemic caution or topic-naming evaluation remains a boundary judgment under the Working Test and is open to alternative readings. Without these 19 tokens, lexical hedges number 23 against 20 modal verbs, so the lexical lead rests on how “potential” is read. Agriculture and Biology account for 15 of the 19 instances. Veterinary Medicine accounts for 4. In scientific English, however, content-oriented lexical hedges often carry more of the epistemic load than modals alone (Hyland, 1998). The dominance of potential fits that pattern in applied-life-science abstracts. Writers reach for a ready English formula that softens application claims (“has potential as…”, “highlight their potential as…”) without building longer clause-level stance. Related work on scientific research writing supports a lexical emphasis. Hyland (1996a) shows that hedging in molecular biology articles is realized mainly by surface lexical forms, with epistemic lexical verbs the largest and most varied group and items such as suggest and indicate among the most frequent. Biologists in that corpus also used fewer modal verbs than writers in general academic English. The present lexical-led profile, driven by potential and suggest in application and implication frames, therefore aligns more with the scientific pattern than with the modal-heavy student pattern.</w:t>
      </w:r>
    </w:p>
    <w:p w:rsidR="00000000" w:rsidDel="00000000" w:rsidP="00000000" w:rsidRDefault="00000000" w:rsidRPr="00000000" w14:paraId="000000BF">
      <w:pPr>
        <w:keepNext w:val="1"/>
        <w:pageBreakBefore w:val="0"/>
        <w:spacing w:after="0" w:before="240" w:line="480" w:lineRule="auto"/>
        <w:jc w:val="center"/>
        <w:rPr/>
      </w:pPr>
      <w:r w:rsidDel="00000000" w:rsidR="00000000" w:rsidRPr="00000000">
        <w:rPr>
          <w:b w:val="1"/>
          <w:bCs w:val="1"/>
          <w:rtl w:val="0"/>
        </w:rPr>
        <w:t xml:space="preserve">Table 3</w:t>
      </w:r>
      <w:r w:rsidDel="00000000" w:rsidR="00000000" w:rsidRPr="00000000">
        <w:rPr>
          <w:rtl w:val="0"/>
        </w:rPr>
      </w:r>
    </w:p>
    <w:p w:rsidR="00000000" w:rsidDel="00000000" w:rsidP="00000000" w:rsidRDefault="00000000" w:rsidRPr="00000000" w14:paraId="000000C0">
      <w:pPr>
        <w:keepNext w:val="1"/>
        <w:spacing w:after="0" w:before="0" w:line="480" w:lineRule="auto"/>
        <w:jc w:val="center"/>
        <w:rPr/>
      </w:pPr>
      <w:r w:rsidDel="00000000" w:rsidR="00000000" w:rsidRPr="00000000">
        <w:rPr>
          <w:rtl w:val="0"/>
        </w:rPr>
        <w:t xml:space="preserve">Hedge Token Inventory by Form</w:t>
      </w:r>
    </w:p>
    <w:tbl>
      <w:tblPr>
        <w:tblStyle w:val="Table3"/>
        <w:tblW w:w="8303.0" w:type="dxa"/>
        <w:jc w:val="left"/>
        <w:tblInd w:w="-10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6" w:val="single"/>
            </w:tcBorders>
          </w:tcPr>
          <w:p w:rsidR="00000000" w:rsidDel="00000000" w:rsidP="00000000" w:rsidRDefault="00000000" w:rsidRPr="00000000" w14:paraId="000000C1">
            <w:pPr>
              <w:spacing w:after="0" w:before="0" w:line="480" w:lineRule="auto"/>
              <w:jc w:val="center"/>
              <w:rPr>
                <w:sz w:val="18"/>
                <w:szCs w:val="18"/>
              </w:rPr>
            </w:pPr>
            <w:r w:rsidDel="00000000" w:rsidR="00000000" w:rsidRPr="00000000">
              <w:rPr>
                <w:b w:val="1"/>
                <w:bCs w:val="1"/>
                <w:sz w:val="18"/>
                <w:szCs w:val="18"/>
                <w:rtl w:val="0"/>
              </w:rPr>
              <w:t xml:space="preserve">Hedge form</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2">
            <w:pPr>
              <w:spacing w:after="0" w:before="0" w:line="480" w:lineRule="auto"/>
              <w:jc w:val="center"/>
              <w:rPr>
                <w:sz w:val="18"/>
                <w:szCs w:val="18"/>
              </w:rPr>
            </w:pPr>
            <w:r w:rsidDel="00000000" w:rsidR="00000000" w:rsidRPr="00000000">
              <w:rPr>
                <w:b w:val="1"/>
                <w:bCs w:val="1"/>
                <w:sz w:val="18"/>
                <w:szCs w:val="18"/>
                <w:rtl w:val="0"/>
              </w:rPr>
              <w:t xml:space="preserve">Grammatical type</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3">
            <w:pPr>
              <w:spacing w:after="0" w:before="0" w:line="480" w:lineRule="auto"/>
              <w:jc w:val="center"/>
              <w:rPr>
                <w:sz w:val="18"/>
                <w:szCs w:val="18"/>
              </w:rPr>
            </w:pPr>
            <w:r w:rsidDel="00000000" w:rsidR="00000000" w:rsidRPr="00000000">
              <w:rPr>
                <w:b w:val="1"/>
                <w:bCs w:val="1"/>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before="0" w:line="480" w:lineRule="auto"/>
              <w:jc w:val="left"/>
              <w:rPr>
                <w:sz w:val="18"/>
                <w:szCs w:val="18"/>
              </w:rPr>
            </w:pPr>
            <w:r w:rsidDel="00000000" w:rsidR="00000000" w:rsidRPr="00000000">
              <w:rPr>
                <w:sz w:val="18"/>
                <w:szCs w:val="18"/>
                <w:rtl w:val="0"/>
              </w:rPr>
              <w:t xml:space="preserve">potential</w:t>
            </w:r>
          </w:p>
        </w:tc>
        <w:tc>
          <w:tcPr/>
          <w:p w:rsidR="00000000" w:rsidDel="00000000" w:rsidP="00000000" w:rsidRDefault="00000000" w:rsidRPr="00000000" w14:paraId="000000C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7">
            <w:pPr>
              <w:spacing w:after="0" w:before="0" w:line="480" w:lineRule="auto"/>
              <w:jc w:val="center"/>
              <w:rPr>
                <w:sz w:val="18"/>
                <w:szCs w:val="18"/>
              </w:rPr>
            </w:pPr>
            <w:r w:rsidDel="00000000" w:rsidR="00000000" w:rsidRPr="00000000">
              <w:rPr>
                <w:sz w:val="18"/>
                <w:szCs w:val="18"/>
                <w:rtl w:val="0"/>
              </w:rPr>
              <w:t xml:space="preserve">19</w:t>
            </w:r>
          </w:p>
        </w:tc>
      </w:tr>
      <w:tr>
        <w:trPr>
          <w:cantSplit w:val="1"/>
          <w:tblHeader w:val="0"/>
        </w:trPr>
        <w:tc>
          <w:tcPr/>
          <w:p w:rsidR="00000000" w:rsidDel="00000000" w:rsidP="00000000" w:rsidRDefault="00000000" w:rsidRPr="00000000" w14:paraId="000000C9">
            <w:pPr>
              <w:spacing w:after="0" w:before="0" w:line="480" w:lineRule="auto"/>
              <w:jc w:val="left"/>
              <w:rPr>
                <w:sz w:val="18"/>
                <w:szCs w:val="18"/>
              </w:rPr>
            </w:pPr>
            <w:r w:rsidDel="00000000" w:rsidR="00000000" w:rsidRPr="00000000">
              <w:rPr>
                <w:sz w:val="18"/>
                <w:szCs w:val="18"/>
                <w:rtl w:val="0"/>
              </w:rPr>
              <w:t xml:space="preserve">suggests</w:t>
            </w:r>
          </w:p>
        </w:tc>
        <w:tc>
          <w:tcPr/>
          <w:p w:rsidR="00000000" w:rsidDel="00000000" w:rsidP="00000000" w:rsidRDefault="00000000" w:rsidRPr="00000000" w14:paraId="000000C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B">
            <w:pPr>
              <w:spacing w:after="0" w:before="0" w:line="480" w:lineRule="auto"/>
              <w:jc w:val="center"/>
              <w:rPr>
                <w:sz w:val="18"/>
                <w:szCs w:val="18"/>
              </w:rPr>
            </w:pPr>
            <w:r w:rsidDel="00000000" w:rsidR="00000000" w:rsidRPr="00000000">
              <w:rPr>
                <w:sz w:val="18"/>
                <w:szCs w:val="18"/>
                <w:rtl w:val="0"/>
              </w:rPr>
              <w:t xml:space="preserve">7</w:t>
            </w:r>
          </w:p>
        </w:tc>
      </w:tr>
      <w:tr>
        <w:trPr>
          <w:cantSplit w:val="1"/>
          <w:tblHeader w:val="0"/>
        </w:trPr>
        <w:tc>
          <w:tcPr/>
          <w:p w:rsidR="00000000" w:rsidDel="00000000" w:rsidP="00000000" w:rsidRDefault="00000000" w:rsidRPr="00000000" w14:paraId="000000CD">
            <w:pPr>
              <w:spacing w:after="0" w:before="0" w:line="480" w:lineRule="auto"/>
              <w:jc w:val="left"/>
              <w:rPr>
                <w:sz w:val="18"/>
                <w:szCs w:val="18"/>
              </w:rPr>
            </w:pPr>
            <w:r w:rsidDel="00000000" w:rsidR="00000000" w:rsidRPr="00000000">
              <w:rPr>
                <w:sz w:val="18"/>
                <w:szCs w:val="18"/>
                <w:rtl w:val="0"/>
              </w:rPr>
              <w:t xml:space="preserve">suggest</w:t>
            </w:r>
          </w:p>
        </w:tc>
        <w:tc>
          <w:tcPr/>
          <w:p w:rsidR="00000000" w:rsidDel="00000000" w:rsidP="00000000" w:rsidRDefault="00000000" w:rsidRPr="00000000" w14:paraId="000000C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1">
            <w:pPr>
              <w:spacing w:after="0" w:before="0" w:line="480" w:lineRule="auto"/>
              <w:jc w:val="left"/>
              <w:rPr>
                <w:sz w:val="18"/>
                <w:szCs w:val="18"/>
              </w:rPr>
            </w:pPr>
            <w:r w:rsidDel="00000000" w:rsidR="00000000" w:rsidRPr="00000000">
              <w:rPr>
                <w:sz w:val="18"/>
                <w:szCs w:val="18"/>
                <w:rtl w:val="0"/>
              </w:rPr>
              <w:t xml:space="preserve">suggesting</w:t>
            </w:r>
          </w:p>
        </w:tc>
        <w:tc>
          <w:tcPr/>
          <w:p w:rsidR="00000000" w:rsidDel="00000000" w:rsidP="00000000" w:rsidRDefault="00000000" w:rsidRPr="00000000" w14:paraId="000000D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3">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5">
            <w:pPr>
              <w:spacing w:after="0" w:before="0" w:line="480" w:lineRule="auto"/>
              <w:jc w:val="left"/>
              <w:rPr>
                <w:sz w:val="18"/>
                <w:szCs w:val="18"/>
              </w:rPr>
            </w:pPr>
            <w:r w:rsidDel="00000000" w:rsidR="00000000" w:rsidRPr="00000000">
              <w:rPr>
                <w:sz w:val="18"/>
                <w:szCs w:val="18"/>
                <w:rtl w:val="0"/>
              </w:rPr>
              <w:t xml:space="preserve">implies</w:t>
            </w:r>
          </w:p>
        </w:tc>
        <w:tc>
          <w:tcPr/>
          <w:p w:rsidR="00000000" w:rsidDel="00000000" w:rsidP="00000000" w:rsidRDefault="00000000" w:rsidRPr="00000000" w14:paraId="000000D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7">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D9">
            <w:pPr>
              <w:spacing w:after="0" w:before="0" w:line="480" w:lineRule="auto"/>
              <w:jc w:val="left"/>
              <w:rPr>
                <w:sz w:val="18"/>
                <w:szCs w:val="18"/>
              </w:rPr>
            </w:pPr>
            <w:r w:rsidDel="00000000" w:rsidR="00000000" w:rsidRPr="00000000">
              <w:rPr>
                <w:sz w:val="18"/>
                <w:szCs w:val="18"/>
                <w:rtl w:val="0"/>
              </w:rPr>
              <w:t xml:space="preserve">indicating / indicates</w:t>
            </w:r>
          </w:p>
        </w:tc>
        <w:tc>
          <w:tcPr/>
          <w:p w:rsidR="00000000" w:rsidDel="00000000" w:rsidP="00000000" w:rsidRDefault="00000000" w:rsidRPr="00000000" w14:paraId="000000D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D">
            <w:pPr>
              <w:spacing w:after="0" w:before="0" w:line="480" w:lineRule="auto"/>
              <w:jc w:val="left"/>
              <w:rPr>
                <w:sz w:val="18"/>
                <w:szCs w:val="18"/>
              </w:rPr>
            </w:pPr>
            <w:r w:rsidDel="00000000" w:rsidR="00000000" w:rsidRPr="00000000">
              <w:rPr>
                <w:sz w:val="18"/>
                <w:szCs w:val="18"/>
                <w:rtl w:val="0"/>
              </w:rPr>
              <w:t xml:space="preserve">likely</w:t>
            </w:r>
          </w:p>
        </w:tc>
        <w:tc>
          <w:tcPr/>
          <w:p w:rsidR="00000000" w:rsidDel="00000000" w:rsidP="00000000" w:rsidRDefault="00000000" w:rsidRPr="00000000" w14:paraId="000000D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F">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E1">
            <w:pPr>
              <w:spacing w:after="0" w:before="0" w:line="480" w:lineRule="auto"/>
              <w:jc w:val="left"/>
              <w:rPr>
                <w:sz w:val="18"/>
                <w:szCs w:val="18"/>
              </w:rPr>
            </w:pPr>
            <w:r w:rsidDel="00000000" w:rsidR="00000000" w:rsidRPr="00000000">
              <w:rPr>
                <w:sz w:val="18"/>
                <w:szCs w:val="18"/>
                <w:rtl w:val="0"/>
              </w:rPr>
              <w:t xml:space="preserve">implying</w:t>
            </w:r>
          </w:p>
        </w:tc>
        <w:tc>
          <w:tcPr/>
          <w:p w:rsidR="00000000" w:rsidDel="00000000" w:rsidP="00000000" w:rsidRDefault="00000000" w:rsidRPr="00000000" w14:paraId="000000E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3">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5">
            <w:pPr>
              <w:spacing w:after="0" w:before="0" w:line="480" w:lineRule="auto"/>
              <w:jc w:val="left"/>
              <w:rPr>
                <w:sz w:val="18"/>
                <w:szCs w:val="18"/>
              </w:rPr>
            </w:pPr>
            <w:r w:rsidDel="00000000" w:rsidR="00000000" w:rsidRPr="00000000">
              <w:rPr>
                <w:sz w:val="18"/>
                <w:szCs w:val="18"/>
                <w:rtl w:val="0"/>
              </w:rPr>
              <w:t xml:space="preserve">inferring</w:t>
            </w:r>
          </w:p>
        </w:tc>
        <w:tc>
          <w:tcPr/>
          <w:p w:rsidR="00000000" w:rsidDel="00000000" w:rsidP="00000000" w:rsidRDefault="00000000" w:rsidRPr="00000000" w14:paraId="000000E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7">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9">
            <w:pPr>
              <w:spacing w:after="0" w:before="0" w:line="480" w:lineRule="auto"/>
              <w:jc w:val="left"/>
              <w:rPr>
                <w:sz w:val="18"/>
                <w:szCs w:val="18"/>
              </w:rPr>
            </w:pPr>
            <w:r w:rsidDel="00000000" w:rsidR="00000000" w:rsidRPr="00000000">
              <w:rPr>
                <w:sz w:val="18"/>
                <w:szCs w:val="18"/>
                <w:rtl w:val="0"/>
              </w:rPr>
              <w:t xml:space="preserve">possible</w:t>
            </w:r>
          </w:p>
        </w:tc>
        <w:tc>
          <w:tcPr/>
          <w:p w:rsidR="00000000" w:rsidDel="00000000" w:rsidP="00000000" w:rsidRDefault="00000000" w:rsidRPr="00000000" w14:paraId="000000E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B">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D">
            <w:pPr>
              <w:spacing w:after="0" w:before="0" w:line="480" w:lineRule="auto"/>
              <w:jc w:val="left"/>
              <w:rPr>
                <w:sz w:val="18"/>
                <w:szCs w:val="18"/>
              </w:rPr>
            </w:pPr>
            <w:r w:rsidDel="00000000" w:rsidR="00000000" w:rsidRPr="00000000">
              <w:rPr>
                <w:sz w:val="18"/>
                <w:szCs w:val="18"/>
                <w:rtl w:val="0"/>
              </w:rPr>
              <w:t xml:space="preserve">can</w:t>
            </w:r>
          </w:p>
        </w:tc>
        <w:tc>
          <w:tcPr/>
          <w:p w:rsidR="00000000" w:rsidDel="00000000" w:rsidP="00000000" w:rsidRDefault="00000000" w:rsidRPr="00000000" w14:paraId="000000EE">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EF">
            <w:pPr>
              <w:spacing w:after="0" w:before="0" w:line="480" w:lineRule="auto"/>
              <w:jc w:val="center"/>
              <w:rPr>
                <w:sz w:val="18"/>
                <w:szCs w:val="18"/>
              </w:rPr>
            </w:pPr>
            <w:r w:rsidDel="00000000" w:rsidR="00000000" w:rsidRPr="00000000">
              <w:rPr>
                <w:sz w:val="18"/>
                <w:szCs w:val="18"/>
                <w:rtl w:val="0"/>
              </w:rPr>
              <w:t xml:space="preserve">5</w:t>
            </w:r>
          </w:p>
        </w:tc>
      </w:tr>
      <w:tr>
        <w:trPr>
          <w:cantSplit w:val="1"/>
          <w:tblHeader w:val="0"/>
        </w:trPr>
        <w:tc>
          <w:tcPr/>
          <w:p w:rsidR="00000000" w:rsidDel="00000000" w:rsidP="00000000" w:rsidRDefault="00000000" w:rsidRPr="00000000" w14:paraId="000000F1">
            <w:pPr>
              <w:spacing w:after="0" w:before="0" w:line="480" w:lineRule="auto"/>
              <w:jc w:val="left"/>
              <w:rPr>
                <w:sz w:val="18"/>
                <w:szCs w:val="18"/>
              </w:rPr>
            </w:pPr>
            <w:r w:rsidDel="00000000" w:rsidR="00000000" w:rsidRPr="00000000">
              <w:rPr>
                <w:sz w:val="18"/>
                <w:szCs w:val="18"/>
                <w:rtl w:val="0"/>
              </w:rPr>
              <w:t xml:space="preserve">could</w:t>
            </w:r>
          </w:p>
        </w:tc>
        <w:tc>
          <w:tcPr/>
          <w:p w:rsidR="00000000" w:rsidDel="00000000" w:rsidP="00000000" w:rsidRDefault="00000000" w:rsidRPr="00000000" w14:paraId="000000F2">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3">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5">
            <w:pPr>
              <w:spacing w:after="0" w:before="0" w:line="480" w:lineRule="auto"/>
              <w:jc w:val="left"/>
              <w:rPr>
                <w:sz w:val="18"/>
                <w:szCs w:val="18"/>
              </w:rPr>
            </w:pPr>
            <w:r w:rsidDel="00000000" w:rsidR="00000000" w:rsidRPr="00000000">
              <w:rPr>
                <w:sz w:val="18"/>
                <w:szCs w:val="18"/>
                <w:rtl w:val="0"/>
              </w:rPr>
              <w:t xml:space="preserve">may</w:t>
            </w:r>
          </w:p>
        </w:tc>
        <w:tc>
          <w:tcPr/>
          <w:p w:rsidR="00000000" w:rsidDel="00000000" w:rsidP="00000000" w:rsidRDefault="00000000" w:rsidRPr="00000000" w14:paraId="000000F6">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7">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9">
            <w:pPr>
              <w:spacing w:after="0" w:before="0" w:line="480" w:lineRule="auto"/>
              <w:jc w:val="left"/>
              <w:rPr>
                <w:sz w:val="18"/>
                <w:szCs w:val="18"/>
              </w:rPr>
            </w:pPr>
            <w:r w:rsidDel="00000000" w:rsidR="00000000" w:rsidRPr="00000000">
              <w:rPr>
                <w:sz w:val="18"/>
                <w:szCs w:val="18"/>
                <w:rtl w:val="0"/>
              </w:rPr>
              <w:t xml:space="preserve">might</w:t>
            </w:r>
          </w:p>
        </w:tc>
        <w:tc>
          <w:tcPr/>
          <w:p w:rsidR="00000000" w:rsidDel="00000000" w:rsidP="00000000" w:rsidRDefault="00000000" w:rsidRPr="00000000" w14:paraId="000000FA">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FD">
            <w:pPr>
              <w:spacing w:after="0" w:before="0" w:line="480" w:lineRule="auto"/>
              <w:jc w:val="left"/>
              <w:rPr>
                <w:sz w:val="18"/>
                <w:szCs w:val="18"/>
              </w:rPr>
            </w:pPr>
            <w:r w:rsidDel="00000000" w:rsidR="00000000" w:rsidRPr="00000000">
              <w:rPr>
                <w:sz w:val="18"/>
                <w:szCs w:val="18"/>
                <w:rtl w:val="0"/>
              </w:rPr>
              <w:t xml:space="preserve">potentially</w:t>
            </w:r>
          </w:p>
        </w:tc>
        <w:tc>
          <w:tcPr/>
          <w:p w:rsidR="00000000" w:rsidDel="00000000" w:rsidP="00000000" w:rsidRDefault="00000000" w:rsidRPr="00000000" w14:paraId="000000FE">
            <w:pPr>
              <w:spacing w:after="0" w:before="0" w:line="480" w:lineRule="auto"/>
              <w:jc w:val="left"/>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0F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tcBorders>
              <w:top w:color="000000" w:space="0" w:sz="6" w:val="single"/>
              <w:bottom w:color="000000" w:space="0" w:sz="18" w:val="single"/>
            </w:tcBorders>
          </w:tcPr>
          <w:p w:rsidR="00000000" w:rsidDel="00000000" w:rsidP="00000000" w:rsidRDefault="00000000" w:rsidRPr="00000000" w14:paraId="00000101">
            <w:pPr>
              <w:spacing w:after="0" w:before="0" w:line="480" w:lineRule="auto"/>
              <w:jc w:val="left"/>
              <w:rPr>
                <w:sz w:val="18"/>
                <w:szCs w:val="18"/>
              </w:rPr>
            </w:pPr>
            <w:r w:rsidDel="00000000" w:rsidR="00000000" w:rsidRPr="00000000">
              <w:rPr>
                <w:sz w:val="18"/>
                <w:szCs w:val="18"/>
                <w:rtl w:val="0"/>
              </w:rPr>
              <w:t xml:space="preserve">Total</w:t>
            </w:r>
          </w:p>
        </w:tc>
        <w:tc>
          <w:tcPr>
            <w:tcBorders>
              <w:top w:color="000000" w:space="0" w:sz="6" w:val="single"/>
              <w:bottom w:color="000000" w:space="0" w:sz="18" w:val="single"/>
            </w:tcBorders>
          </w:tcPr>
          <w:p w:rsidR="00000000" w:rsidDel="00000000" w:rsidP="00000000" w:rsidRDefault="00000000" w:rsidRPr="00000000" w14:paraId="00000102">
            <w:pPr>
              <w:spacing w:after="0" w:before="0" w:line="480" w:lineRule="auto"/>
              <w:jc w:val="left"/>
              <w:rPr>
                <w:sz w:val="18"/>
                <w:szCs w:val="18"/>
              </w:rPr>
            </w:pPr>
            <w:r w:rsidDel="00000000" w:rsidR="00000000" w:rsidRPr="00000000">
              <w:rPr>
                <w:rtl w:val="0"/>
              </w:rPr>
            </w:r>
          </w:p>
        </w:tc>
        <w:tc>
          <w:tcPr>
            <w:tcBorders>
              <w:top w:color="000000" w:space="0" w:sz="6" w:val="single"/>
              <w:bottom w:color="000000" w:space="0" w:sz="18" w:val="single"/>
            </w:tcBorders>
          </w:tcPr>
          <w:p w:rsidR="00000000" w:rsidDel="00000000" w:rsidP="00000000" w:rsidRDefault="00000000" w:rsidRPr="00000000" w14:paraId="00000103">
            <w:pPr>
              <w:spacing w:after="0" w:before="0" w:line="480" w:lineRule="auto"/>
              <w:jc w:val="center"/>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05">
      <w:pPr>
        <w:spacing w:after="0" w:before="120" w:line="480" w:lineRule="auto"/>
        <w:ind w:firstLine="720"/>
        <w:rPr/>
      </w:pPr>
      <w:r w:rsidDel="00000000" w:rsidR="00000000" w:rsidRPr="00000000">
        <w:rPr>
          <w:strike w:val="0"/>
          <w:rtl w:val="0"/>
        </w:rPr>
        <w:t xml:space="preserve">Table 3 lists every retained hedge form in the corpus with its grammatical type and count. Counts sum to 6</w:t>
      </w:r>
      <w:r w:rsidDel="00000000" w:rsidR="00000000" w:rsidRPr="00000000">
        <w:rPr>
          <w:rtl w:val="0"/>
        </w:rPr>
        <w:t xml:space="preserve">5</w:t>
      </w:r>
      <w:r w:rsidDel="00000000" w:rsidR="00000000" w:rsidRPr="00000000">
        <w:rPr>
          <w:strike w:val="0"/>
          <w:rtl w:val="0"/>
        </w:rPr>
        <w:t xml:space="preserve">. Surface forms of the same root are listed separately here so each tally line can be checked against the coding sheet.</w:t>
      </w:r>
      <w:r w:rsidDel="00000000" w:rsidR="00000000" w:rsidRPr="00000000">
        <w:rPr>
          <w:rtl w:val="0"/>
        </w:rPr>
      </w:r>
    </w:p>
    <w:p w:rsidR="00000000" w:rsidDel="00000000" w:rsidP="00000000" w:rsidRDefault="00000000" w:rsidRPr="00000000" w14:paraId="00000106">
      <w:pPr>
        <w:spacing w:after="0" w:before="0" w:line="480" w:lineRule="auto"/>
        <w:ind w:firstLine="720"/>
        <w:jc w:val="both"/>
        <w:rPr/>
      </w:pPr>
      <w:r w:rsidDel="00000000" w:rsidR="00000000" w:rsidRPr="00000000">
        <w:rPr>
          <w:rtl w:val="0"/>
        </w:rPr>
        <w:t xml:space="preserve">The distribution of hedge types shows cross-disciplinary differences, most clearly in Veterinary Medicine’s small total and low modal share. Table 4 presents the per-discipline breakdown of hedge types. Read against other corpora where type distribution also shifts by field or writer group (Wang, 2022; Hyland, 1996a), that cell is a local type profile in this sample, not only evidence that VM hedges less often.</w:t>
      </w:r>
    </w:p>
    <w:p w:rsidR="00000000" w:rsidDel="00000000" w:rsidP="00000000" w:rsidRDefault="00000000" w:rsidRPr="00000000" w14:paraId="00000107">
      <w:pPr>
        <w:keepNext w:val="1"/>
        <w:pageBreakBefore w:val="0"/>
        <w:spacing w:after="0" w:before="720" w:line="480" w:lineRule="auto"/>
        <w:jc w:val="center"/>
        <w:rPr/>
      </w:pPr>
      <w:r w:rsidDel="00000000" w:rsidR="00000000" w:rsidRPr="00000000">
        <w:rPr>
          <w:b w:val="1"/>
          <w:bCs w:val="1"/>
          <w:rtl w:val="0"/>
        </w:rPr>
        <w:t xml:space="preserve">Table 4</w:t>
      </w:r>
      <w:r w:rsidDel="00000000" w:rsidR="00000000" w:rsidRPr="00000000">
        <w:rPr>
          <w:rtl w:val="0"/>
        </w:rPr>
      </w:r>
    </w:p>
    <w:p w:rsidR="00000000" w:rsidDel="00000000" w:rsidP="00000000" w:rsidRDefault="00000000" w:rsidRPr="00000000" w14:paraId="00000108">
      <w:pPr>
        <w:keepNext w:val="1"/>
        <w:spacing w:after="60" w:before="0" w:line="480" w:lineRule="auto"/>
        <w:jc w:val="center"/>
        <w:rPr/>
      </w:pPr>
      <w:r w:rsidDel="00000000" w:rsidR="00000000" w:rsidRPr="00000000">
        <w:rPr>
          <w:rtl w:val="0"/>
        </w:rPr>
        <w:t xml:space="preserve">Hedge Type Distribution by Discipline</w:t>
      </w:r>
    </w:p>
    <w:tbl>
      <w:tblPr>
        <w:tblStyle w:val="Table4"/>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09">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A">
            <w:pPr>
              <w:spacing w:after="0" w:before="0" w:line="480" w:lineRule="auto"/>
              <w:rPr>
                <w:sz w:val="18"/>
                <w:szCs w:val="18"/>
              </w:rPr>
            </w:pPr>
            <w:r w:rsidDel="00000000" w:rsidR="00000000" w:rsidRPr="00000000">
              <w:rPr>
                <w:b w:val="1"/>
                <w:bCs w:val="1"/>
                <w:i w:val="0"/>
                <w:iCs w:val="0"/>
                <w:sz w:val="18"/>
                <w:szCs w:val="18"/>
                <w:rtl w:val="0"/>
              </w:rPr>
              <w:t xml:space="preserve">Modal Verbs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B">
            <w:pPr>
              <w:spacing w:after="0" w:before="0" w:line="480" w:lineRule="auto"/>
              <w:rPr>
                <w:sz w:val="18"/>
                <w:szCs w:val="18"/>
              </w:rPr>
            </w:pPr>
            <w:r w:rsidDel="00000000" w:rsidR="00000000" w:rsidRPr="00000000">
              <w:rPr>
                <w:b w:val="1"/>
                <w:bCs w:val="1"/>
                <w:i w:val="0"/>
                <w:iCs w:val="0"/>
                <w:sz w:val="18"/>
                <w:szCs w:val="18"/>
                <w:rtl w:val="0"/>
              </w:rPr>
              <w:t xml:space="preserve">Lexical 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C">
            <w:pPr>
              <w:spacing w:after="0" w:before="0" w:line="480" w:lineRule="auto"/>
              <w:rPr>
                <w:sz w:val="18"/>
                <w:szCs w:val="18"/>
              </w:rPr>
            </w:pPr>
            <w:r w:rsidDel="00000000" w:rsidR="00000000" w:rsidRPr="00000000">
              <w:rPr>
                <w:b w:val="1"/>
                <w:bCs w:val="1"/>
                <w:i w:val="0"/>
                <w:iCs w:val="0"/>
                <w:sz w:val="18"/>
                <w:szCs w:val="18"/>
                <w:rtl w:val="0"/>
              </w:rPr>
              <w:t xml:space="preserve">Adverbial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D">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Clause-</w:t>
            </w:r>
          </w:p>
          <w:p w:rsidR="00000000" w:rsidDel="00000000" w:rsidP="00000000" w:rsidRDefault="00000000" w:rsidRPr="00000000" w14:paraId="0000010E">
            <w:pPr>
              <w:spacing w:after="0" w:before="0" w:line="480" w:lineRule="auto"/>
              <w:rPr>
                <w:sz w:val="18"/>
                <w:szCs w:val="18"/>
              </w:rPr>
            </w:pPr>
            <w:r w:rsidDel="00000000" w:rsidR="00000000" w:rsidRPr="00000000">
              <w:rPr>
                <w:b w:val="1"/>
                <w:bCs w:val="1"/>
                <w:i w:val="0"/>
                <w:iCs w:val="0"/>
                <w:sz w:val="18"/>
                <w:szCs w:val="18"/>
                <w:rtl w:val="0"/>
              </w:rPr>
              <w:t xml:space="preserve">Level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F">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11">
            <w:pPr>
              <w:spacing w:after="0" w:before="0" w:line="480" w:lineRule="auto"/>
              <w:rPr>
                <w:sz w:val="18"/>
                <w:szCs w:val="18"/>
              </w:rPr>
            </w:pPr>
            <w:r w:rsidDel="00000000" w:rsidR="00000000" w:rsidRPr="00000000">
              <w:rPr>
                <w:sz w:val="18"/>
                <w:szCs w:val="18"/>
                <w:rtl w:val="0"/>
              </w:rPr>
              <w:t>13</w:t>
            </w:r>
          </w:p>
        </w:tc>
        <w:tc>
          <w:tcPr/>
          <w:p w:rsidR="00000000" w:rsidDel="00000000" w:rsidP="00000000" w:rsidRDefault="00000000" w:rsidRPr="00000000" w14:paraId="00000112">
            <w:pPr>
              <w:spacing w:after="0" w:before="0" w:line="480" w:lineRule="auto"/>
              <w:rPr>
                <w:sz w:val="18"/>
                <w:szCs w:val="18"/>
              </w:rPr>
            </w:pPr>
            <w:r w:rsidDel="00000000" w:rsidR="00000000" w:rsidRPr="00000000">
              <w:rPr>
                <w:sz w:val="18"/>
                <w:szCs w:val="18"/>
                <w:rtl w:val="0"/>
              </w:rPr>
              <w:t>14</w:t>
            </w:r>
          </w:p>
        </w:tc>
        <w:tc>
          <w:tcPr/>
          <w:p w:rsidR="00000000" w:rsidDel="00000000" w:rsidP="00000000" w:rsidRDefault="00000000" w:rsidRPr="00000000" w14:paraId="00000113">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4">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5">
            <w:pPr>
              <w:spacing w:after="0" w:before="0" w:line="480" w:lineRule="auto"/>
              <w:rPr>
                <w:sz w:val="18"/>
                <w:szCs w:val="18"/>
              </w:rPr>
            </w:pPr>
            <w:r w:rsidDel="00000000" w:rsidR="00000000" w:rsidRPr="00000000">
              <w:rPr>
                <w:sz w:val="18"/>
                <w:szCs w:val="18"/>
                <w:rtl w:val="0"/>
              </w:rPr>
              <w:t xml:space="preserve">27</w:t>
            </w:r>
          </w:p>
        </w:tc>
      </w:tr>
      <w:tr>
        <w:trPr>
          <w:cantSplit w:val="1"/>
          <w:tblHeader w:val="0"/>
        </w:trPr>
        <w:tc>
          <w:tcPr/>
          <w:p w:rsidR="00000000" w:rsidDel="00000000" w:rsidP="00000000" w:rsidRDefault="00000000" w:rsidRPr="00000000" w14:paraId="00000116">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17">
            <w:pPr>
              <w:spacing w:after="0" w:before="0" w:line="480" w:lineRule="auto"/>
              <w:rPr>
                <w:sz w:val="18"/>
                <w:szCs w:val="18"/>
              </w:rPr>
            </w:pPr>
            <w:r w:rsidDel="00000000" w:rsidR="00000000" w:rsidRPr="00000000">
              <w:rPr>
                <w:i w:val="0"/>
                <w:iCs w:val="0"/>
                <w:sz w:val="18"/>
                <w:szCs w:val="18"/>
                <w:rtl w:val="0"/>
              </w:rPr>
              <w:t>5</w:t>
            </w:r>
            <w:r w:rsidDel="00000000" w:rsidR="00000000" w:rsidRPr="00000000">
              <w:rPr>
                <w:rtl w:val="0"/>
              </w:rPr>
            </w:r>
          </w:p>
        </w:tc>
        <w:tc>
          <w:tcPr/>
          <w:p w:rsidR="00000000" w:rsidDel="00000000" w:rsidP="00000000" w:rsidRDefault="00000000" w:rsidRPr="00000000" w14:paraId="00000118">
            <w:pPr>
              <w:spacing w:after="0" w:before="0" w:line="480" w:lineRule="auto"/>
              <w:rPr>
                <w:sz w:val="18"/>
                <w:szCs w:val="18"/>
              </w:rPr>
            </w:pPr>
            <w:r w:rsidDel="00000000" w:rsidR="00000000" w:rsidRPr="00000000">
              <w:rPr>
                <w:i w:val="0"/>
                <w:iCs w:val="0"/>
                <w:sz w:val="18"/>
                <w:szCs w:val="18"/>
                <w:rtl w:val="0"/>
              </w:rPr>
              <w:t>20</w:t>
            </w:r>
            <w:r w:rsidDel="00000000" w:rsidR="00000000" w:rsidRPr="00000000">
              <w:rPr>
                <w:rtl w:val="0"/>
              </w:rPr>
            </w:r>
          </w:p>
        </w:tc>
        <w:tc>
          <w:tcPr/>
          <w:p w:rsidR="00000000" w:rsidDel="00000000" w:rsidP="00000000" w:rsidRDefault="00000000" w:rsidRPr="00000000" w14:paraId="00000119">
            <w:pPr>
              <w:spacing w:after="0" w:before="0" w:line="480" w:lineRule="auto"/>
              <w:rPr>
                <w:sz w:val="18"/>
                <w:szCs w:val="18"/>
              </w:rPr>
            </w:pPr>
            <w:r w:rsidDel="00000000" w:rsidR="00000000" w:rsidRPr="00000000">
              <w:rPr>
                <w:i w:val="0"/>
                <w:iCs w:val="0"/>
                <w:sz w:val="18"/>
                <w:szCs w:val="18"/>
                <w:rtl w:val="0"/>
              </w:rPr>
              <w:t>3</w:t>
            </w:r>
            <w:r w:rsidDel="00000000" w:rsidR="00000000" w:rsidRPr="00000000">
              <w:rPr>
                <w:rtl w:val="0"/>
              </w:rPr>
            </w:r>
          </w:p>
        </w:tc>
        <w:tc>
          <w:tcPr/>
          <w:p w:rsidR="00000000" w:rsidDel="00000000" w:rsidP="00000000" w:rsidRDefault="00000000" w:rsidRPr="00000000" w14:paraId="0000011A">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B">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1D">
            <w:pPr>
              <w:spacing w:after="0" w:before="0" w:line="480" w:lineRule="auto"/>
              <w:rPr>
                <w:sz w:val="18"/>
                <w:szCs w:val="18"/>
              </w:rPr>
            </w:pPr>
            <w:r w:rsidDel="00000000" w:rsidR="00000000" w:rsidRPr="00000000">
              <w:rPr>
                <w:i w:val="0"/>
                <w:iCs w:val="0"/>
                <w:sz w:val="18"/>
                <w:szCs w:val="18"/>
                <w:rtl w:val="0"/>
              </w:rPr>
              <w:t>2</w:t>
            </w:r>
            <w:r w:rsidDel="00000000" w:rsidR="00000000" w:rsidRPr="00000000">
              <w:rPr>
                <w:rtl w:val="0"/>
              </w:rPr>
            </w:r>
          </w:p>
        </w:tc>
        <w:tc>
          <w:tcPr/>
          <w:p w:rsidR="00000000" w:rsidDel="00000000" w:rsidP="00000000" w:rsidRDefault="00000000" w:rsidRPr="00000000" w14:paraId="0000011E">
            <w:pPr>
              <w:spacing w:after="0" w:before="0" w:line="480" w:lineRule="auto"/>
              <w:rPr>
                <w:sz w:val="18"/>
                <w:szCs w:val="18"/>
              </w:rPr>
            </w:pPr>
            <w:r w:rsidDel="00000000" w:rsidR="00000000" w:rsidRPr="00000000">
              <w:rPr>
                <w:i w:val="0"/>
                <w:iCs w:val="0"/>
                <w:sz w:val="18"/>
                <w:szCs w:val="18"/>
                <w:rtl w:val="0"/>
              </w:rPr>
              <w:t>8</w:t>
            </w:r>
            <w:r w:rsidDel="00000000" w:rsidR="00000000" w:rsidRPr="00000000">
              <w:rPr>
                <w:rtl w:val="0"/>
              </w:rPr>
            </w:r>
          </w:p>
        </w:tc>
        <w:tc>
          <w:tcPr/>
          <w:p w:rsidR="00000000" w:rsidDel="00000000" w:rsidP="00000000" w:rsidRDefault="00000000" w:rsidRPr="00000000" w14:paraId="0000011F">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0">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1">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22">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23">
            <w:pPr>
              <w:spacing w:after="0" w:before="0" w:line="480" w:lineRule="auto"/>
              <w:rPr>
                <w:sz w:val="18"/>
                <w:szCs w:val="18"/>
              </w:rPr>
            </w:pPr>
            <w:r w:rsidDel="00000000" w:rsidR="00000000" w:rsidRPr="00000000">
              <w:rPr>
                <w:sz w:val="18"/>
                <w:szCs w:val="18"/>
                <w:rtl w:val="0"/>
              </w:rPr>
              <w:t>20</w:t>
            </w:r>
          </w:p>
        </w:tc>
        <w:tc>
          <w:tcPr>
            <w:tcBorders>
              <w:bottom w:color="000000" w:space="0" w:sz="18" w:val="single"/>
            </w:tcBorders>
          </w:tcPr>
          <w:p w:rsidR="00000000" w:rsidDel="00000000" w:rsidP="00000000" w:rsidRDefault="00000000" w:rsidRPr="00000000" w14:paraId="00000124">
            <w:pPr>
              <w:spacing w:after="0" w:before="0" w:line="480" w:lineRule="auto"/>
              <w:rPr>
                <w:sz w:val="18"/>
                <w:szCs w:val="18"/>
              </w:rPr>
            </w:pPr>
            <w:r w:rsidDel="00000000" w:rsidR="00000000" w:rsidRPr="00000000">
              <w:rPr>
                <w:sz w:val="18"/>
                <w:szCs w:val="18"/>
                <w:rtl w:val="0"/>
              </w:rPr>
              <w:t>42</w:t>
            </w:r>
          </w:p>
        </w:tc>
        <w:tc>
          <w:tcPr>
            <w:tcBorders>
              <w:bottom w:color="000000" w:space="0" w:sz="18" w:val="single"/>
            </w:tcBorders>
          </w:tcPr>
          <w:p w:rsidR="00000000" w:rsidDel="00000000" w:rsidP="00000000" w:rsidRDefault="00000000" w:rsidRPr="00000000" w14:paraId="00000125">
            <w:pPr>
              <w:spacing w:after="0" w:before="0" w:line="480" w:lineRule="auto"/>
              <w:rPr>
                <w:sz w:val="18"/>
                <w:szCs w:val="18"/>
              </w:rPr>
            </w:pPr>
            <w:r w:rsidDel="00000000" w:rsidR="00000000" w:rsidRPr="00000000">
              <w:rPr>
                <w:sz w:val="18"/>
                <w:szCs w:val="18"/>
                <w:rtl w:val="0"/>
              </w:rPr>
              <w:t>3</w:t>
            </w:r>
          </w:p>
        </w:tc>
        <w:tc>
          <w:tcPr>
            <w:tcBorders>
              <w:bottom w:color="000000" w:space="0" w:sz="18" w:val="single"/>
            </w:tcBorders>
          </w:tcPr>
          <w:p w:rsidR="00000000" w:rsidDel="00000000" w:rsidP="00000000" w:rsidRDefault="00000000" w:rsidRPr="00000000" w14:paraId="00000126">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tcBorders>
              <w:bottom w:color="000000" w:space="0" w:sz="18" w:val="single"/>
            </w:tcBorders>
          </w:tcPr>
          <w:p w:rsidR="00000000" w:rsidDel="00000000" w:rsidP="00000000" w:rsidRDefault="00000000" w:rsidRPr="00000000" w14:paraId="00000127">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28">
      <w:pPr>
        <w:spacing w:after="0" w:before="240" w:line="480" w:lineRule="auto"/>
        <w:ind w:firstLine="720"/>
        <w:jc w:val="both"/>
        <w:rPr/>
      </w:pPr>
      <w:r w:rsidDel="00000000" w:rsidR="00000000" w:rsidRPr="00000000">
        <w:rPr>
          <w:strike w:val="0"/>
          <w:rtl w:val="0"/>
        </w:rPr>
        <w:t>Table 4 shows that Agriculture has a balanced type mix (13 modal verbs vs. 14 lexical hedges), while Biology is heavily lexical (20 of 28 hedges, with only 5 modal verbs). Veterinary Medicine, with only 10 total hedges, is also predominantly lexical (8 of 10). Agriculture is the only discipline in which modal verbs come close to half of the hedge tokens.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p>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sidDel="00000000" w:rsidR="00000000" w:rsidRPr="00000000">
        <w:rPr>
          <w:strike w:val="0"/>
          <w:rtl w:val="0"/>
        </w:rPr>
        <w:t>Alongside the 65 retained epistemic caution hedges (and no politeness/deference tokens), the corpus yielded 65 false positive tokens, hedge-like words that failed the claim condition or both removal checks at Step 2. Table 6 (Part III) places these totals side by side.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 xml:space="preserve">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tl w:val="0"/>
        </w:rPr>
        <w:t xml:space="preserve">Cross-disciplinary comparison shows differences in hedge density, driven mainly by Veterinary Medicine’s lower rate. Table 5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jc w:val="center"/>
        <w:rPr/>
      </w:pPr>
      <w:r w:rsidDel="00000000" w:rsidR="00000000" w:rsidRPr="00000000">
        <w:rPr>
          <w:b w:val="1"/>
          <w:bCs w:val="1"/>
          <w:rtl w:val="0"/>
        </w:rPr>
        <w:t xml:space="preserve">Table 5</w:t>
      </w:r>
      <w:r w:rsidDel="00000000" w:rsidR="00000000" w:rsidRPr="00000000">
        <w:rPr>
          <w:rtl w:val="0"/>
        </w:rPr>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sidDel="00000000" w:rsidR="00000000" w:rsidRPr="00000000">
        <w:rPr>
          <w:rtl w:val="0"/>
        </w:rPr>
        <w:t>Table 5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tl w:val="0"/>
        </w:rPr>
        <w:t xml:space="preserve">Veterinary Medicine's low density is more difficult to interpret. Many VM abstracts in this corpus reported clinical findings from animal studies (e.g., drug efficacy trials, disease detection, hematological profiling). Part IV tests the obvious explanation, that VM abstracts mostly report binary results, 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sidDel="00000000" w:rsidR="00000000" w:rsidRPr="00000000">
        <w:rPr>
          <w:strike w:val="0"/>
          <w:rtl w:val="0"/>
        </w:rPr>
        <w:t>Table 6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jc w:val="center"/>
        <w:rPr/>
      </w:pPr>
      <w:r w:rsidDel="00000000" w:rsidR="00000000" w:rsidRPr="00000000">
        <w:rPr>
          <w:b w:val="1"/>
          <w:bCs w:val="1"/>
          <w:rtl w:val="0"/>
        </w:rPr>
        <w:t xml:space="preserve">Table 6</w:t>
      </w:r>
      <w:r w:rsidDel="00000000" w:rsidR="00000000" w:rsidRPr="00000000">
        <w:rPr>
          <w:rtl w:val="0"/>
        </w:rPr>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jc w:val="center"/>
        <w:rPr/>
      </w:pPr>
      <w:r w:rsidDel="00000000" w:rsidR="00000000" w:rsidRPr="00000000">
        <w:rPr>
          <w:b w:val="1"/>
          <w:bCs w:val="1"/>
          <w:rtl w:val="0"/>
        </w:rPr>
        <w:t xml:space="preserve">Table 7</w:t>
      </w:r>
      <w:r w:rsidDel="00000000" w:rsidR="00000000" w:rsidRPr="00000000">
        <w:rPr>
          <w:rtl w:val="0"/>
        </w:rPr>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sidDel="00000000" w:rsidR="00000000" w:rsidRPr="00000000">
        <w:rPr>
          <w:rtl w:val="0"/>
        </w:rPr>
        <w:t xml:space="preserve">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sidDel="00000000" w:rsidR="00000000" w:rsidRPr="00000000">
        <w:rPr>
          <w:rtl w:val="0"/>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5),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xml:space="preserve">, with modal verbs as the other main resource. Instruction that assumes a full academic hedging repertoire will miss what this campus sample actually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