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i w:val="0"/>
          <w:sz w:val="28"/>
        </w:rPr>
        <w:t>THE USE OF HEDGES IN RESEARCH ABSTRACTS</w:t>
      </w:r>
    </w:p>
    <w:p>
      <w:pPr>
        <w:spacing w:after="0" w:line="240" w:lineRule="auto"/>
        <w:jc w:val="center"/>
      </w:pPr>
      <w:r>
        <w:rPr>
          <w:rFonts w:ascii="Georgia" w:hAnsi="Georgia" w:eastAsia="Georgia"/>
          <w:b/>
          <w:i w:val="0"/>
          <w:sz w:val="28"/>
        </w:rPr>
        <w:t>ACROSS APPLIED LIFE SCIENCES</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A Thesis</w:t>
      </w:r>
    </w:p>
    <w:p>
      <w:pPr>
        <w:spacing w:after="0" w:line="240" w:lineRule="auto"/>
        <w:jc w:val="center"/>
      </w:pPr>
      <w:r>
        <w:rPr>
          <w:rFonts w:ascii="Georgia" w:hAnsi="Georgia" w:eastAsia="Georgia"/>
          <w:b w:val="0"/>
          <w:i w:val="0"/>
          <w:sz w:val="24"/>
        </w:rPr>
        <w:t>Presented to the Faculty of</w:t>
      </w:r>
    </w:p>
    <w:p>
      <w:pPr>
        <w:spacing w:after="0" w:line="240" w:lineRule="auto"/>
        <w:jc w:val="center"/>
      </w:pPr>
      <w:r>
        <w:rPr>
          <w:rFonts w:ascii="Georgia" w:hAnsi="Georgia" w:eastAsia="Georgia"/>
          <w:b w:val="0"/>
          <w:i w:val="0"/>
          <w:sz w:val="24"/>
        </w:rPr>
        <w:t>Department of English</w:t>
      </w:r>
    </w:p>
    <w:p>
      <w:pPr>
        <w:spacing w:after="0" w:line="240" w:lineRule="auto"/>
        <w:jc w:val="center"/>
      </w:pPr>
      <w:r>
        <w:rPr>
          <w:rFonts w:ascii="Georgia" w:hAnsi="Georgia" w:eastAsia="Georgia"/>
          <w:b w:val="0"/>
          <w:i w:val="0"/>
          <w:sz w:val="24"/>
        </w:rPr>
        <w:t>College of Arts and Sciences</w:t>
      </w:r>
    </w:p>
    <w:p>
      <w:pPr>
        <w:spacing w:after="0" w:line="240" w:lineRule="auto"/>
        <w:jc w:val="center"/>
      </w:pPr>
      <w:r>
        <w:rPr>
          <w:rFonts w:ascii="Georgia" w:hAnsi="Georgia" w:eastAsia="Georgia"/>
          <w:b w:val="0"/>
          <w:i w:val="0"/>
          <w:sz w:val="24"/>
        </w:rPr>
        <w:t>Pampanga State Agricultural University</w:t>
      </w:r>
    </w:p>
    <w:p>
      <w:pPr>
        <w:spacing w:after="0" w:line="240" w:lineRule="auto"/>
        <w:jc w:val="center"/>
      </w:pPr>
      <w:r>
        <w:rPr>
          <w:rFonts w:ascii="Georgia" w:hAnsi="Georgia" w:eastAsia="Georgia"/>
          <w:b w:val="0"/>
          <w:i w:val="0"/>
          <w:sz w:val="24"/>
        </w:rPr>
        <w:t>Magalang, Pampanga</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In Partial Fulfillment</w:t>
      </w:r>
    </w:p>
    <w:p>
      <w:pPr>
        <w:spacing w:after="0" w:line="240" w:lineRule="auto"/>
        <w:jc w:val="center"/>
      </w:pPr>
      <w:r>
        <w:rPr>
          <w:rFonts w:ascii="Georgia" w:hAnsi="Georgia" w:eastAsia="Georgia"/>
          <w:b w:val="0"/>
          <w:i w:val="0"/>
          <w:sz w:val="24"/>
        </w:rPr>
        <w:t>of the Requirements for the Degree</w:t>
      </w:r>
    </w:p>
    <w:p>
      <w:pPr>
        <w:spacing w:after="0" w:line="240" w:lineRule="auto"/>
        <w:jc w:val="center"/>
      </w:pPr>
      <w:r>
        <w:rPr>
          <w:rFonts w:ascii="Georgia" w:hAnsi="Georgia" w:eastAsia="Georgia"/>
          <w:b w:val="0"/>
          <w:i w:val="0"/>
          <w:sz w:val="24"/>
        </w:rPr>
        <w:t>BACHELOR OF ARTS IN ENGLISH LANGUAGE STUDIES</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By</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i w:val="0"/>
          <w:sz w:val="24"/>
        </w:rPr>
        <w:t>CHRYZ KEAN F. MANUEL</w:t>
      </w:r>
    </w:p>
    <w:p>
      <w:pPr>
        <w:spacing w:before="0" w:after="0" w:line="240" w:lineRule="auto"/>
      </w:pPr>
      <w:r>
        <w:rPr>
          <w:rFonts w:ascii="Georgia" w:hAnsi="Georgia" w:eastAsia="Georgia"/>
          <w:b w:val="0"/>
          <w:i w:val="0"/>
          <w:sz w:val="22"/>
        </w:rPr>
      </w:r>
    </w:p>
    <w:p>
      <w:pPr>
        <w:spacing w:after="0" w:line="240" w:lineRule="auto"/>
        <w:jc w:val="center"/>
      </w:pPr>
      <w:r>
        <w:rPr>
          <w:rFonts w:ascii="Georgia" w:hAnsi="Georgia" w:eastAsia="Georgia"/>
          <w:b w:val="0"/>
          <w:i w:val="0"/>
          <w:sz w:val="24"/>
        </w:rPr>
        <w:t>October 2026</w:t>
      </w:r>
    </w:p>
    <w:p>
      <w:pPr>
        <w:sectPr>
          <w:pgSz w:w="11906" w:h="16838"/>
          <w:pgMar w:top="1440" w:right="1440" w:bottom="1440" w:left="2160" w:header="720" w:footer="720" w:gutter="0"/>
          <w:cols w:space="720"/>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INTRODUCTION</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240" w:after="240" w:line="480" w:lineRule="auto"/>
        <w:jc w:val="left"/>
      </w:pPr>
      <w:r>
        <w:rPr>
          <w:rFonts w:ascii="Georgia" w:hAnsi="Georgia" w:eastAsia="Georgia"/>
          <w:b/>
          <w:i w:val="0"/>
          <w:sz w:val="24"/>
        </w:rPr>
        <w:t>BACKGROUND OF THE STUDY</w:t>
      </w:r>
    </w:p>
    <w:p>
      <w:pPr>
        <w:spacing w:line="480" w:lineRule="auto" w:before="0" w:after="0"/>
        <w:ind w:firstLine="720"/>
        <w:jc w:val="both"/>
      </w:pPr>
      <w:r>
        <w:rPr>
          <w:rFonts w:ascii="Georgia" w:hAnsi="Georgia" w:eastAsia="Georgia"/>
          <w:b w:val="0"/>
          <w:i w:val="0"/>
          <w:sz w:val="22"/>
        </w:rPr>
        <w:t>Certainty, it seems, is the one thing academic writers are certain they should avoid. Writing guides are full of confident advice about sounding uncertain. “Qualify your claims,” they insist, as if hedging were a single, transferable skill. Yet, while the instruction to be cautious is universal, the actual application of this skill varies significantly across different fields of study. Is the language of uncertainty truly uniform, or does it shift depending on the nature of the evidence being presented?</w:t>
      </w:r>
    </w:p>
    <w:p>
      <w:pPr>
        <w:spacing w:line="480" w:lineRule="auto" w:before="0" w:after="0"/>
        <w:ind w:firstLine="720"/>
        <w:jc w:val="both"/>
      </w:pPr>
      <w:r>
        <w:rPr>
          <w:rFonts w:ascii="Georgia" w:hAnsi="Georgia" w:eastAsia="Georgia"/>
          <w:b w:val="0"/>
          <w:i w:val="0"/>
          <w:sz w:val="22"/>
        </w:rPr>
        <w:t>Expert writers hedge to present claims with caution rather than absolute certainty. That finding is well established. Hyland (1998) showed that hedging is a core rhetorical resource, not just a matter of style. Writers use devices such as may, suggest, or generally to signal epistemic stance and to participate in their disciplinary communities. A gap remains. Expert norms are well documented, but less is known about how undergraduate thesis writers handle these conventions. They face the same genre expectations without the disciplinary training of experts. Do the abstracts they produce reflect the specific norms of the fields they are written in, or do they merely exhibit a generic style of caution?</w:t>
      </w:r>
    </w:p>
    <w:p>
      <w:pPr>
        <w:spacing w:line="480" w:lineRule="auto" w:before="0" w:after="0"/>
        <w:ind w:firstLine="720"/>
        <w:jc w:val="both"/>
      </w:pPr>
      <w:r>
        <w:rPr>
          <w:rFonts w:ascii="Georgia" w:hAnsi="Georgia" w:eastAsia="Georgia"/>
          <w:b w:val="0"/>
          <w:i w:val="0"/>
          <w:sz w:val="22"/>
        </w:rPr>
        <w:t>The importance of hedging is especially clear in the applied life sciences. Research in Agriculture, Veterinary Medicine, and Biology often has direct effects on the community and the environment. When developing researchers state findings categorically instead of hedging, they risk treating provisional results as settled. Overstated claims can lead to misuse of data or unproven practices. Teaching developing researchers to manage epistemic stance is therefore not only a writing skill but a practical responsibility in these fields.</w:t>
      </w:r>
    </w:p>
    <w:p>
      <w:pPr>
        <w:spacing w:line="480" w:lineRule="auto" w:before="0" w:after="0"/>
        <w:ind w:firstLine="720"/>
        <w:jc w:val="both"/>
      </w:pPr>
      <w:r>
        <w:rPr>
          <w:rFonts w:ascii="Georgia" w:hAnsi="Georgia" w:eastAsia="Georgia"/>
          <w:b w:val="0"/>
          <w:i w:val="0"/>
          <w:sz w:val="22"/>
        </w:rPr>
        <w:t>This study investigates that question at Pampanga State Agricultural University (PSAU), focusing on thesis abstracts from three disciplines: Agriculture, Veterinary Medicine, and Biology. These three fields were chosen because they represent the core applied life sciences programs at PSAU, yet they are typically associated with distinct orientations toward evidence. Agricultural research often involves field-based studies subject to environmental variability that is largely outside the researcher’s control. Biological studies are frequently conducted under controlled laboratory conditions. Veterinary medicine, by contrast, manages clinical variables dependent on individual patient outcomes. While these boundaries are not absolute, as agricultural research can be lab-based and biology can be field-based, these differing epistemic orientations may foster distinct hedging conventions. If these texts reflect any disciplinary writing norms, these differences should be evident in their hedging patterns. If they do not, all three groups should produce similar patterns, a finding that is equally informative for writing instruction.</w:t>
      </w:r>
    </w:p>
    <w:p>
      <w:pPr>
        <w:keepNext/>
        <w:keepLines/>
        <w:spacing w:before="240" w:after="240" w:line="480" w:lineRule="auto"/>
        <w:jc w:val="left"/>
      </w:pPr>
      <w:r>
        <w:rPr>
          <w:rFonts w:ascii="Georgia" w:hAnsi="Georgia" w:eastAsia="Georgia"/>
          <w:b w:val="0"/>
          <w:i/>
          <w:sz w:val="24"/>
        </w:rPr>
        <w:t>Hedging in Undergraduate Writing</w:t>
      </w:r>
    </w:p>
    <w:p>
      <w:pPr>
        <w:spacing w:line="480" w:lineRule="auto" w:before="0" w:after="0"/>
        <w:ind w:firstLine="720"/>
        <w:jc w:val="both"/>
      </w:pPr>
      <w:r>
        <w:rPr>
          <w:rFonts w:ascii="Georgia" w:hAnsi="Georgia" w:eastAsia="Georgia"/>
          <w:b w:val="0"/>
          <w:i w:val="0"/>
          <w:sz w:val="22"/>
        </w:rPr>
        <w:t>Recent studies consistently find that developing researchers underuse hedging and rely on a narrow range of devices. In an analysis of 60 research abstracts by Thai undergraduate English majors, Khunasathitchai et al. (2025) found an average of only 1.5 hedges per abstract. They observed that modal verbs dominated across all types of claims. Suratno and Aydawati (2025) reported similar patterns in the discussion sections of Indonesian undergraduate theses. They noted that developing researchers relied on one or two modal words regardless of argument type. The authors attribute this limitation to a lack of explicit instruction rather than a lack of grammatical ability. Working on a larger scale, Wang (2022) examined 829 papers by developing researchers across 16 fields in the Michigan Corpus of Upper-Level Student Papers. This study confirmed that disciplinary variation in hedging is detectable even in developing researchers' writing. For instance, researchers in Philosophy and Psychology hedged more than those in Physics and History. However, modal verbs remained the dominant form across all disciplines.</w:t>
      </w:r>
    </w:p>
    <w:p>
      <w:pPr>
        <w:spacing w:line="480" w:lineRule="auto" w:before="0" w:after="0"/>
        <w:ind w:firstLine="720"/>
        <w:jc w:val="both"/>
      </w:pPr>
      <w:r>
        <w:rPr>
          <w:rFonts w:ascii="Georgia" w:hAnsi="Georgia" w:eastAsia="Georgia"/>
          <w:b w:val="0"/>
          <w:i w:val="0"/>
          <w:sz w:val="22"/>
        </w:rPr>
        <w:t>These studies have limits for the present work. Khunasathitchai et al. (2025) did examine abstracts specifically, which makes their genre-level findings the most directly comparable to this study, but their context is Thai, not Philippines. Suratno and Aydawati (2025) analyzed discussion sections rather than abstracts, while Wang (2022) examined complete papers by developing researchers. Hedging patterns documented in full-length sections may not reflect how developing researchers hedge in the constrained abstract space. In that space, rhetorical compression forces different choices. None of the three studies is set in a Philippine L2 context. This study addresses both the genre gap (abstracts rather than full sections) and the Philippine L2 context missing from all three.</w:t>
      </w:r>
    </w:p>
    <w:p>
      <w:pPr>
        <w:keepNext/>
        <w:keepLines/>
        <w:spacing w:before="240" w:after="240" w:line="480" w:lineRule="auto"/>
        <w:jc w:val="left"/>
      </w:pPr>
      <w:r>
        <w:rPr>
          <w:rFonts w:ascii="Georgia" w:hAnsi="Georgia" w:eastAsia="Georgia"/>
          <w:b w:val="0"/>
          <w:i/>
          <w:sz w:val="24"/>
        </w:rPr>
        <w:t>Disciplinary Variation in Scientific and Medical Writing</w:t>
      </w:r>
    </w:p>
    <w:p>
      <w:pPr>
        <w:spacing w:line="480" w:lineRule="auto" w:before="0" w:after="0"/>
        <w:ind w:firstLine="720"/>
        <w:jc w:val="both"/>
      </w:pPr>
      <w:r>
        <w:rPr>
          <w:rFonts w:ascii="Georgia" w:hAnsi="Georgia" w:eastAsia="Georgia"/>
          <w:b w:val="0"/>
          <w:i w:val="0"/>
          <w:sz w:val="22"/>
        </w:rPr>
        <w:t>Expert-writing studies confirm that field norms shape hedging, though the pattern is more complex than a simple hard or soft science divide. Afshar et al. (2014) analyzed 60 research articles across humanities, basic sciences, and agriculture. They found that humanities disciplines used hedges most frequently, followed by basic sciences, with agriculture using the fewest. Mohammed (2011), however, found the reverse when comparing biochemistry and applied linguistics directly. Biochemistry articles contained more hedging forms than applied linguistics articles, with scientists hedging more than linguists overall. Hamidi et al. (2025) found that clinical science papers used slightly more hedges than basic science papers within the medical domain, though without statistical significance.</w:t>
      </w:r>
    </w:p>
    <w:p>
      <w:pPr>
        <w:spacing w:line="480" w:lineRule="auto" w:before="0" w:after="0"/>
        <w:ind w:firstLine="720"/>
        <w:jc w:val="both"/>
      </w:pPr>
      <w:r>
        <w:rPr>
          <w:rFonts w:ascii="Georgia" w:hAnsi="Georgia" w:eastAsia="Georgia"/>
          <w:b w:val="0"/>
          <w:i w:val="0"/>
          <w:sz w:val="22"/>
        </w:rPr>
        <w:t>These findings are not necessarily contradictory. Afshar et al. and Mohammed compare different disciplinary pairings and use different hedge taxonomies. The variation in their results reflects the fact that hedging density depends on the specific epistemic demands of a field rather than on a single dimension of hard versus soft science. These demands relate to what a writer must be responsible for. This is precisely the point Salager-Meyer (1994) makes in theorizing hedging as claim-responsibility management. The implication for the present study is that Agriculture, Veterinary Medicine, and Biology may produce distinct hedging patterns. This may happen not because one field is harder than another, but because each field requires writers to manage different kinds of epistemic responsibility. Whether undergraduate abstracts reflect any of these field-specific conventions is what this study examines.</w:t>
      </w:r>
    </w:p>
    <w:p>
      <w:pPr>
        <w:keepNext/>
        <w:keepLines/>
        <w:spacing w:before="240" w:after="240" w:line="480" w:lineRule="auto"/>
        <w:jc w:val="left"/>
      </w:pPr>
      <w:r>
        <w:rPr>
          <w:rFonts w:ascii="Georgia" w:hAnsi="Georgia" w:eastAsia="Georgia"/>
          <w:b w:val="0"/>
          <w:i/>
          <w:sz w:val="24"/>
        </w:rPr>
        <w:t>Hedging in L2 and EFL Contexts</w:t>
      </w:r>
    </w:p>
    <w:p>
      <w:pPr>
        <w:spacing w:line="480" w:lineRule="auto" w:before="0" w:after="0"/>
        <w:ind w:firstLine="720"/>
        <w:jc w:val="both"/>
      </w:pPr>
      <w:r>
        <w:rPr>
          <w:rFonts w:ascii="Georgia" w:hAnsi="Georgia" w:eastAsia="Georgia"/>
          <w:b w:val="0"/>
          <w:i w:val="0"/>
          <w:sz w:val="22"/>
        </w:rPr>
        <w:t>The Philippine educational context adds a further layer of relevance. English is the medium of academic writing instruction at PSAU. Demir (2018) found that non-native English writers used significantly fewer hedges and less variety than native writers. Mohammed (2011) identified a cultural dimension to this. American authors used 14 to 15 percent more hedging forms than Arabic authors writing in the same disciplines. This suggests that L2 academic writers may also be operating under different rhetorical conventions from their L1 contexts. Petchkij (2019) demonstrated that explicit instruction can change this. Thai health science developing researchers increased both hedge frequency and variety after targeted instruction. However, modal verb preference persisted even after training. This indicates that some aspects of hedging require deeper disciplinary exposure to change.</w:t>
      </w:r>
    </w:p>
    <w:p>
      <w:pPr>
        <w:spacing w:line="480" w:lineRule="auto" w:before="0" w:after="0"/>
        <w:ind w:firstLine="720"/>
        <w:jc w:val="both"/>
      </w:pPr>
      <w:r>
        <w:rPr>
          <w:rFonts w:ascii="Georgia" w:hAnsi="Georgia" w:eastAsia="Georgia"/>
          <w:b w:val="0"/>
          <w:i w:val="0"/>
          <w:sz w:val="22"/>
        </w:rPr>
        <w:t>These studies collectively suggest that L2 writers underuse hedging for reasons that are partly linguistic and partly instructional. The gap does not close through language exposure alone. Philippine developing researchers navigate a unique linguistic landscape where English is the medium of instruction but not the home language. This makes hedging particularly demanding to acquire. It requires both pragmatic fluency and disciplinary exposure that most have not yet had. Philippine developing researchers at PSAU face all of these conditions. These include L2 English status, limited explicit hedging instruction, and disciplinary writing curricula that focus more on structure and grammar than on epistemic stance. Because L2 proficiency is not measured in this design, this study cannot isolate the influence of linguistic constraints from disciplinary conventions. Any observed hedging patterns may reflect the limitations of L2 proficiency, disciplinary socialization, or an inseparable combination of both. Therefore, this study does not claim to identify the underlying causes of these patterns; rather, it establishes a descriptive baseline of the textual artifacts produced at this intersection.</w:t>
      </w:r>
    </w:p>
    <w:p>
      <w:pPr>
        <w:keepNext/>
        <w:keepLines/>
        <w:spacing w:before="240" w:after="240" w:line="480" w:lineRule="auto"/>
        <w:jc w:val="left"/>
      </w:pPr>
      <w:r>
        <w:rPr>
          <w:rFonts w:ascii="Georgia" w:hAnsi="Georgia" w:eastAsia="Georgia"/>
          <w:b w:val="0"/>
          <w:i/>
          <w:sz w:val="24"/>
        </w:rPr>
        <w:t>Hedging in Philippine Academic Writing Contexts</w:t>
      </w:r>
    </w:p>
    <w:p>
      <w:pPr>
        <w:spacing w:line="480" w:lineRule="auto" w:before="0" w:after="0"/>
        <w:ind w:firstLine="720"/>
        <w:jc w:val="both"/>
      </w:pPr>
      <w:r>
        <w:rPr>
          <w:rFonts w:ascii="Georgia" w:hAnsi="Georgia" w:eastAsia="Georgia"/>
          <w:b w:val="0"/>
          <w:i w:val="0"/>
          <w:sz w:val="22"/>
        </w:rPr>
        <w:t>Philippine higher education presents a distinctive context for hedging research. Even though English is the official medium of instruction in tertiary education, most Filipino developing researchers acquire it as a second or additional language. Their English is shaped by exposure to Filipino, regional languages, and code-switching practices. These practices differ from the hedging conventions of standard academic English. Studies examining hedging in Philippine developing researchers' writing reveal patterns that are consistent with the broader L2 literature while also reflecting locally specific conditions.</w:t>
      </w:r>
    </w:p>
    <w:p>
      <w:pPr>
        <w:spacing w:line="480" w:lineRule="auto" w:before="0" w:after="0"/>
        <w:ind w:firstLine="720"/>
        <w:jc w:val="both"/>
      </w:pPr>
      <w:r>
        <w:rPr>
          <w:rFonts w:ascii="Georgia" w:hAnsi="Georgia" w:eastAsia="Georgia"/>
          <w:b w:val="0"/>
          <w:i w:val="0"/>
          <w:sz w:val="22"/>
        </w:rPr>
        <w:t>A 2024 ASEAN-wide study using the ICNALE learner corpus found that EFL learners across ten countries, including the Philippines, exhibit a preference for boosters over hedges. Ningrum, Puspita, and Mulyadi (2024) noted that learners overused boosters such as completely, really, and always, while they also showed patterns in hedges such as usually, often, and maybe. This suggests a regional tendency toward assertiveness rather than caution in developing researchers' writing. Locally, Escalona (2025) examined hedges and boosters in the essays of AB-English and BS-Information Technology developing researchers at Bukidnon State University. The study found that developing researchers’ use of these devices varied by discipline. IT developing researchers showed greater reliance on hedges to convey caution given the technical and rapidly evolving nature of their field. English language developing researchers showed greater preference for boosters in asserting arguments. Escalona (2025) concludes that integrating rhetorical strategies such as hedges and boosters into classroom instruction is vital for developing academic language skills among Philippine university developing researchers.</w:t>
      </w:r>
    </w:p>
    <w:p>
      <w:pPr>
        <w:spacing w:line="480" w:lineRule="auto" w:before="0" w:after="0"/>
        <w:ind w:firstLine="720"/>
        <w:jc w:val="both"/>
      </w:pPr>
      <w:r>
        <w:rPr>
          <w:rFonts w:ascii="Georgia" w:hAnsi="Georgia" w:eastAsia="Georgia"/>
          <w:b w:val="0"/>
          <w:i w:val="0"/>
          <w:sz w:val="22"/>
        </w:rPr>
        <w:t>Further emphasizing the proficiency gap, Lopez et al. (2025) analyzed 50 argumentative essays by English Language Studies majors at a state university in northern Philippines. The study found that the general proficiency level of participants was at the developing stage, with epistemic modal verbs occurring most frequently across all proficiency levels. Hedging has also been examined in Philippine public discourse. Villanueva (2014) analyzed editorials from the Philippine Daily Inquirer, Manila Bulletin, and Philippine Star. The study found that hedging devices were employed to manage the accountability of editorial claims, particularly in politically sensitive content. While this study addresses journalistic rather than academic discourse, it reinforces the point that hedging is a context-sensitive rhetorical practice whose forms and functions shift depending on the communicative situation.</w:t>
      </w:r>
    </w:p>
    <w:p>
      <w:pPr>
        <w:spacing w:line="480" w:lineRule="auto" w:before="0" w:after="0"/>
        <w:ind w:firstLine="720"/>
        <w:jc w:val="both"/>
      </w:pPr>
      <w:r>
        <w:rPr>
          <w:rFonts w:ascii="Georgia" w:hAnsi="Georgia" w:eastAsia="Georgia"/>
          <w:b w:val="0"/>
          <w:i w:val="0"/>
          <w:sz w:val="22"/>
        </w:rPr>
        <w:t>Taken together, these studies suggest that Philippine writers at various levels rely predominantly on modal verbs and show limited hedge variety. This is the pattern the present study expects to observe in the PSAU corpus. What remains unknown is whether the disciplinary context in which developing researchers write produces any differentiation within this general tendency or whether the constraints of L2 proficiency and limited explicit instruction flatten these differences entirely.</w:t>
      </w:r>
    </w:p>
    <w:p>
      <w:pPr>
        <w:keepNext/>
        <w:keepLines/>
        <w:spacing w:before="240" w:after="240" w:line="480" w:lineRule="auto"/>
        <w:jc w:val="left"/>
      </w:pPr>
      <w:r>
        <w:rPr>
          <w:rFonts w:ascii="Georgia" w:hAnsi="Georgia" w:eastAsia="Georgia"/>
          <w:b w:val="0"/>
          <w:i/>
          <w:sz w:val="24"/>
        </w:rPr>
        <w:t>Disciplinary Variation in Abstracts and Undergraduate Theses</w:t>
      </w:r>
    </w:p>
    <w:p>
      <w:pPr>
        <w:spacing w:line="480" w:lineRule="auto" w:before="0" w:after="0"/>
        <w:ind w:firstLine="720"/>
        <w:jc w:val="both"/>
      </w:pPr>
      <w:r>
        <w:rPr>
          <w:rFonts w:ascii="Georgia" w:hAnsi="Georgia" w:eastAsia="Georgia"/>
          <w:b w:val="0"/>
          <w:i w:val="0"/>
          <w:sz w:val="22"/>
        </w:rPr>
        <w:t>The abstract genre itself has distinct linguistic characteristics that justify studying it separately from full papers. Imataki and Kobayashi (2024) analyzed 5,000 expert abstracts from five scientific fields. They found measurable disciplinary differences in voice, nominalization, and lexical choice. These patterns are specific to how experts compress and present their research in a constrained space. Hyland (1998) established the central role of hedging in expert scientific writing. In contrast, studies of developing researchers' writing show that they produce fewer hedges and rely on a narrower range of devices than experts. This pattern was observed by Hyland and Milton (1997), Khunasathitchai et al. (2025), and Wang (2022). Whether developing researchers show any disciplinary differentiation in the abstract genre remains an open empirical question. It is also unknown whether all three groups converge on the same generic, modal-dominated hedging regardless of field.</w:t>
      </w:r>
    </w:p>
    <w:p>
      <w:pPr>
        <w:spacing w:line="480" w:lineRule="auto" w:before="0" w:after="0"/>
        <w:ind w:firstLine="720"/>
        <w:jc w:val="both"/>
      </w:pPr>
      <w:r>
        <w:rPr>
          <w:rFonts w:ascii="Georgia" w:hAnsi="Georgia" w:eastAsia="Georgia"/>
          <w:b w:val="0"/>
          <w:i w:val="0"/>
          <w:sz w:val="22"/>
        </w:rPr>
        <w:t>The present study grows directly from the central question raised at the beginning of this proposal. Certainty is the one thing academic writers are certain they should avoid. Writing guides repeatedly advise developing researchers to qualify their claims, yet they rarely acknowledge that the language of uncertainty is not a single transferable skill. Instead, hedging practices vary significantly depending on the nature of the evidence and the epistemic demands of each discipline.</w:t>
      </w:r>
    </w:p>
    <w:p>
      <w:pPr>
        <w:spacing w:line="480" w:lineRule="auto" w:before="0" w:after="0"/>
        <w:ind w:firstLine="720"/>
        <w:jc w:val="both"/>
      </w:pPr>
      <w:r>
        <w:rPr>
          <w:rFonts w:ascii="Georgia" w:hAnsi="Georgia" w:eastAsia="Georgia"/>
          <w:b w:val="0"/>
          <w:i w:val="0"/>
          <w:sz w:val="22"/>
        </w:rPr>
        <w:t>Across the bodies of literature reviewed, a consistent picture emerges. Expert writers in scientific and medical fields demonstrate measurable disciplinary differentiation in hedging. They do not hedge more or less simply because one field is harder than another. Rather, different fields create distinct epistemic demands that shape how writers manage claim responsibility (Salager-Meyer, 1994). In contrast, developing researchers across multiple contexts show limited hedge variety. They tend to default to modal verbs and underuse more context-specific devices, regardless of discipline (Khunasathitchai et al., 2025; Wang, 2022). L2 and EFL developing researchers face an additional layer of constraint. Linguistic factors and limited explicit instruction often suppress the richer hedging repertoire that disciplinary socialization might otherwise produce (Demir, 2018; Petchkij, 2019). Philippine developing researchers navigate a particularly challenging landscape. English serves as the medium of instruction, but it is rarely reinforced by everyday language use. Regional studies, including ASEAN-wide analyses and local Philippine investigations, confirm a general reliance on modal verbs and a tendency toward boosters in some contexts (Ningrum et al., 2024; Escalona, 2025; Lopez et al., 2025).</w:t>
      </w:r>
    </w:p>
    <w:p>
      <w:pPr>
        <w:spacing w:line="480" w:lineRule="auto" w:before="0" w:after="0"/>
        <w:ind w:firstLine="720"/>
        <w:jc w:val="both"/>
      </w:pPr>
      <w:r>
        <w:rPr>
          <w:rFonts w:ascii="Georgia" w:hAnsi="Georgia" w:eastAsia="Georgia"/>
          <w:b w:val="0"/>
          <w:i w:val="0"/>
          <w:sz w:val="22"/>
        </w:rPr>
        <w:t>The same gap appears consistently across all these bodies of literature. No published study identified in this review has examined hedging in undergraduate thesis abstracts from applied science disciplines in a Philippine L2 context. Studies of developing researchers' hedging have rarely targeted the abstract genre, where rhetorical compression forces distinct choices. Studies of the abstract genre itself have focused almost exclusively on expert writers. Research on L2 hedging has drawn primarily from Thai, Indonesian, and Western settings. Even studies of Philippine academic writing have not focused on thesis abstracts in applied life sciences such as Agriculture, Veterinary Medicine, and Biology.</w:t>
      </w:r>
    </w:p>
    <w:p>
      <w:pPr>
        <w:spacing w:line="480" w:lineRule="auto" w:before="0" w:after="0"/>
        <w:ind w:firstLine="720"/>
        <w:jc w:val="both"/>
      </w:pPr>
      <w:r>
        <w:rPr>
          <w:rFonts w:ascii="Georgia" w:hAnsi="Georgia" w:eastAsia="Georgia"/>
          <w:b w:val="0"/>
          <w:i w:val="0"/>
          <w:sz w:val="22"/>
        </w:rPr>
        <w:t>This study addresses that specific intersection at Pampanga State Agricultural University. By investigating hedging patterns across three applied life sciences disciplines that share an institutional context but differ in their relationship to evidence, the study establishes a much-needed baseline. The findings move writing instruction at PSAU beyond generic advice to be cautious and toward evidence-based, discipline-sensitive guidance for developing researchers.</w:t>
      </w:r>
    </w:p>
    <w:p>
      <w:pPr>
        <w:keepNext/>
        <w:keepLines/>
        <w:spacing w:before="240" w:after="240" w:line="480" w:lineRule="auto"/>
        <w:jc w:val="left"/>
      </w:pPr>
      <w:r>
        <w:rPr>
          <w:rFonts w:ascii="Georgia" w:hAnsi="Georgia" w:eastAsia="Georgia"/>
          <w:b/>
          <w:i w:val="0"/>
          <w:sz w:val="24"/>
        </w:rPr>
        <w:t>STATEMENT OF THE PROBLEM</w:t>
      </w:r>
    </w:p>
    <w:p>
      <w:pPr>
        <w:spacing w:line="480" w:lineRule="auto" w:before="0" w:after="0"/>
        <w:ind w:firstLine="720"/>
        <w:jc w:val="both"/>
      </w:pPr>
      <w:r>
        <w:rPr>
          <w:rFonts w:ascii="Georgia" w:hAnsi="Georgia" w:eastAsia="Georgia"/>
          <w:b w:val="0"/>
          <w:i w:val="0"/>
          <w:sz w:val="22"/>
        </w:rPr>
        <w:t>Academic writing in the applied life sciences requires a discipline-specific management of uncertainty. However, current understanding of how Philippine developing researchers navigate these conventions remains limited. While previous studies have established that expert hedging varies significantly across fields such as Agriculture and Biology, there is a lack of empirical data on whether developing researchers at PSAU reflect these disciplinary distinctions in their abstracts. The absence of a local corpus baseline creates a gap in understanding. It remains unclear whether the thesis abstracts produced in these applied sciences reflect the field-specific rhetorical norms expected of them, or if they rely on a generic, undifferentiated approach to hedging.</w:t>
      </w:r>
    </w:p>
    <w:p>
      <w:pPr>
        <w:spacing w:line="480" w:lineRule="auto" w:before="0" w:after="0"/>
        <w:ind w:firstLine="720"/>
        <w:jc w:val="both"/>
      </w:pPr>
      <w:r>
        <w:rPr>
          <w:rFonts w:ascii="Georgia" w:hAnsi="Georgia" w:eastAsia="Georgia"/>
          <w:b w:val="0"/>
          <w:i w:val="0"/>
          <w:sz w:val="22"/>
        </w:rPr>
        <w:t>This study addresses that gap by mapping hedging patterns in undergraduate thesis abstracts from three disciplines at PSAU. Generally, it examines how epistemic stance is constructed through hedging patterns in undergraduate thesis abstracts across Agriculture, Veterinary Medicine, and Biology. Specifically, it aims to answer the following questions:</w:t>
      </w:r>
    </w:p>
    <w:p>
      <w:pPr>
        <w:spacing w:line="480" w:lineRule="auto" w:before="0" w:after="0"/>
        <w:jc w:val="both"/>
      </w:pPr>
      <w:r>
        <w:rPr>
          <w:rFonts w:ascii="Georgia" w:hAnsi="Georgia" w:eastAsia="Georgia"/>
          <w:b w:val="0"/>
          <w:i w:val="0"/>
          <w:sz w:val="22"/>
        </w:rPr>
        <w:t>1. What types of hedging devices appear in the undergraduate thesis abstracts across the three disciplines?</w:t>
      </w:r>
    </w:p>
    <w:p>
      <w:pPr>
        <w:spacing w:line="480" w:lineRule="auto" w:before="0" w:after="0"/>
        <w:jc w:val="both"/>
      </w:pPr>
      <w:r>
        <w:rPr>
          <w:rFonts w:ascii="Georgia" w:hAnsi="Georgia" w:eastAsia="Georgia"/>
          <w:b w:val="0"/>
          <w:i w:val="0"/>
          <w:sz w:val="22"/>
        </w:rPr>
        <w:t>2. How does the frequency of hedging devices vary across Agriculture, Veterinary Medicine, and Biology programs?</w:t>
      </w:r>
    </w:p>
    <w:p>
      <w:pPr>
        <w:spacing w:line="480" w:lineRule="auto" w:before="0" w:after="0"/>
        <w:jc w:val="both"/>
      </w:pPr>
      <w:r>
        <w:rPr>
          <w:rFonts w:ascii="Georgia" w:hAnsi="Georgia" w:eastAsia="Georgia"/>
          <w:b w:val="0"/>
          <w:i w:val="0"/>
          <w:sz w:val="22"/>
        </w:rPr>
        <w:t>3. Among the hedging devices identified, what rhetorical functions do they serve?</w:t>
      </w:r>
    </w:p>
    <w:p>
      <w:pPr>
        <w:spacing w:line="480" w:lineRule="auto" w:before="0" w:after="0"/>
        <w:jc w:val="both"/>
      </w:pPr>
      <w:r>
        <w:rPr>
          <w:rFonts w:ascii="Georgia" w:hAnsi="Georgia" w:eastAsia="Georgia"/>
          <w:b w:val="0"/>
          <w:i w:val="0"/>
          <w:sz w:val="22"/>
        </w:rPr>
        <w:t>4. What do the frequency and functional patterns suggest about the construction of epistemic stance through hedging among developing researchers?</w:t>
      </w:r>
    </w:p>
    <w:p>
      <w:pPr>
        <w:keepNext/>
        <w:keepLines/>
        <w:spacing w:before="240" w:after="240" w:line="480" w:lineRule="auto"/>
        <w:jc w:val="left"/>
      </w:pPr>
      <w:r>
        <w:rPr>
          <w:rFonts w:ascii="Georgia" w:hAnsi="Georgia" w:eastAsia="Georgia"/>
          <w:b/>
          <w:i w:val="0"/>
          <w:sz w:val="24"/>
        </w:rPr>
        <w:t>RESEARCH FRAMEWORK</w:t>
      </w:r>
    </w:p>
    <w:p>
      <w:pPr>
        <w:spacing w:line="480" w:lineRule="auto" w:before="0" w:after="0"/>
        <w:ind w:firstLine="720"/>
        <w:jc w:val="both"/>
      </w:pPr>
      <w:r>
        <w:rPr>
          <w:rFonts w:ascii="Georgia" w:hAnsi="Georgia" w:eastAsia="Georgia"/>
          <w:b w:val="0"/>
          <w:i w:val="0"/>
          <w:sz w:val="22"/>
        </w:rPr>
        <w:t>This study is grounded in a coding scheme adapted from Hyland’s (1998) classification of hedging forms, with categories operationally consolidated for the present corpus. The framework categorizes hedging devices into four types: lexical hedges (e.g., suggest, indicate, possible), modal verbs (e.g., may, might), adverbial hedges (e.g., generally, typically), and clause-level hedges (e.g., it seems, I think). It further identifies three primary functions of hedging: epistemic caution (expressing uncertainty about the truth of a claim), politeness (showing deference to readers or prior research), and discourse organization (structuring the text or managing reader expectations). This framework has been widely applied in corpus studies of academic writing and provides the systematic basis for this study’s coding scheme.</w:t>
      </w:r>
    </w:p>
    <w:p>
      <w:pPr>
        <w:spacing w:line="480" w:lineRule="auto" w:before="0" w:after="0"/>
        <w:ind w:firstLine="720"/>
        <w:jc w:val="both"/>
      </w:pPr>
      <w:r>
        <w:rPr>
          <w:rFonts w:ascii="Georgia" w:hAnsi="Georgia" w:eastAsia="Georgia"/>
          <w:b w:val="0"/>
          <w:i w:val="0"/>
          <w:sz w:val="22"/>
        </w:rPr>
        <w:t>To interpret disciplinary differences and address recent theoretical developments, this study draws on two complementary resources. Salager-Meyer’s (1994) concept of hedging as claim-responsibility management explains why disciplinary differences in hedging, if observed, take the forms they do. Writers use hedges to distribute epistemic responsibility for a claim’s truth, accuracy, or applicability among themselves, their data, and external conditions. Supplementing this is Hyland’s (2005) metadiscourse framework, which repositions hedges as stance markers within a broader model of writer-reader interaction. In this view, hedging is not simply a mechanism of uncertainty but a means by which writers calibrate their commitment to propositions and negotiate knowledge claims with their discourse community. Together, these frameworks provide both the specific mechanism (claim-responsibility distribution) and the broader theoretical home (interactional metadiscourse) for interpreting disciplinary patterns. Neither Salager-Meyer (1994) nor Hyland (2005) is applied as a coding scheme. Instead, they operate as interpretive lenses in the discussion of findings.</w:t>
      </w:r>
    </w:p>
    <w:p>
      <w:pPr>
        <w:spacing w:line="480" w:lineRule="auto" w:before="0" w:after="0"/>
        <w:ind w:firstLine="720"/>
        <w:jc w:val="both"/>
      </w:pPr>
      <w:r>
        <w:rPr>
          <w:rFonts w:ascii="Georgia" w:hAnsi="Georgia" w:eastAsia="Georgia"/>
          <w:b w:val="0"/>
          <w:i w:val="0"/>
          <w:sz w:val="22"/>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for the cross-tabulation of type-function pairings that RQ4 required.</w:t>
      </w:r>
    </w:p>
    <w:p>
      <w:pPr>
        <w:spacing w:line="480" w:lineRule="auto" w:before="0" w:after="0"/>
        <w:ind w:firstLine="720"/>
        <w:jc w:val="both"/>
      </w:pPr>
      <w:r>
        <w:rPr>
          <w:rFonts w:ascii="Georgia" w:hAnsi="Georgia" w:eastAsia="Georgia"/>
          <w:b w:val="0"/>
          <w:i w:val="0"/>
          <w:sz w:val="22"/>
        </w:rPr>
        <w:t>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p>
    <w:p>
      <w:pPr>
        <w:spacing w:before="240" w:after="0"/>
        <w:jc w:val="center"/>
      </w:pPr>
      <w:r>
        <w:rPr>
          <w:rFonts w:ascii="Georgia" w:hAnsi="Georgia" w:eastAsia="Georgia"/>
          <w:b/>
          <w:i w:val="0"/>
          <w:sz w:val="22"/>
        </w:rPr>
        <w:t>Figure 1</w:t>
      </w:r>
    </w:p>
    <w:p>
      <w:pPr>
        <w:spacing w:after="120"/>
        <w:jc w:val="center"/>
      </w:pPr>
      <w:r>
        <w:rPr>
          <w:rFonts w:ascii="Georgia" w:hAnsi="Georgia" w:eastAsia="Georgia"/>
          <w:b w:val="0"/>
          <w:i/>
          <w:sz w:val="22"/>
        </w:rPr>
        <w:t>Conceptual Framework of the Study</w:t>
      </w:r>
    </w:p>
    <w:p>
      <w:pPr>
        <w:spacing w:before="120" w:after="240"/>
        <w:jc w:val="center"/>
      </w:pPr>
      <w:r>
        <w:drawing>
          <wp:inline xmlns:a="http://schemas.openxmlformats.org/drawingml/2006/main" xmlns:pic="http://schemas.openxmlformats.org/drawingml/2006/pictur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11"/>
                    <a:stretch>
                      <a:fillRect/>
                    </a:stretch>
                  </pic:blipFill>
                  <pic:spPr>
                    <a:xfrm>
                      <a:off x="0" y="0"/>
                      <a:ext cx="5029200" cy="3981450"/>
                    </a:xfrm>
                    <a:prstGeom prst="rect"/>
                  </pic:spPr>
                </pic:pic>
              </a:graphicData>
            </a:graphic>
          </wp:inline>
        </w:drawing>
      </w:r>
    </w:p>
    <w:p>
      <w:pPr>
        <w:keepNext/>
        <w:keepLines/>
        <w:spacing w:before="240" w:after="240" w:line="480" w:lineRule="auto"/>
        <w:jc w:val="left"/>
      </w:pPr>
      <w:r>
        <w:rPr>
          <w:rFonts w:ascii="Georgia" w:hAnsi="Georgia" w:eastAsia="Georgia"/>
          <w:b/>
          <w:i w:val="0"/>
          <w:sz w:val="24"/>
        </w:rPr>
        <w:t>SIGNIFICANCE OF THE STUDY</w:t>
      </w:r>
    </w:p>
    <w:p>
      <w:pPr>
        <w:spacing w:line="480" w:lineRule="auto" w:before="0" w:after="0"/>
        <w:ind w:firstLine="720"/>
        <w:jc w:val="both"/>
      </w:pPr>
      <w:r>
        <w:rPr>
          <w:rFonts w:ascii="Georgia" w:hAnsi="Georgia" w:eastAsia="Georgia"/>
          <w:b w:val="0"/>
          <w:i w:val="0"/>
          <w:sz w:val="22"/>
        </w:rPr>
        <w:t>This study generates one of the few discipline-specific baseline data on hedging in undergraduate thesis abstracts within a Philippine state agricultural university.</w:t>
      </w:r>
    </w:p>
    <w:p>
      <w:pPr>
        <w:spacing w:line="480" w:lineRule="auto" w:before="0" w:after="0"/>
        <w:ind w:firstLine="720"/>
        <w:jc w:val="both"/>
      </w:pPr>
      <w:r>
        <w:rPr>
          <w:rFonts w:ascii="Georgia" w:hAnsi="Georgia" w:eastAsia="Georgia"/>
          <w:b/>
          <w:i w:val="0"/>
          <w:sz w:val="22"/>
        </w:rPr>
        <w:t xml:space="preserve">Academic Writing Researchers. </w:t>
      </w:r>
      <w:r>
        <w:rPr>
          <w:rFonts w:ascii="Georgia" w:hAnsi="Georgia" w:eastAsia="Georgia"/>
          <w:b w:val="0"/>
          <w:i w:val="0"/>
          <w:sz w:val="22"/>
        </w:rPr>
        <w:t>The study contributes exploratory data on disciplinary variation in developing researchers' hedging practices, an area dominated by expert-writing studies. It extends corpus linguistics research on L2 developing researchers' discourse into the Philippine context, which has received limited attention in the hedging literature.</w:t>
      </w:r>
    </w:p>
    <w:p>
      <w:pPr>
        <w:spacing w:line="480" w:lineRule="auto" w:before="0" w:after="0"/>
        <w:ind w:firstLine="720"/>
        <w:jc w:val="both"/>
      </w:pPr>
      <w:r>
        <w:rPr>
          <w:rFonts w:ascii="Georgia" w:hAnsi="Georgia" w:eastAsia="Georgia"/>
          <w:b/>
          <w:i w:val="0"/>
          <w:sz w:val="22"/>
        </w:rPr>
        <w:t xml:space="preserve">Thesis Advisers. </w:t>
      </w:r>
      <w:r>
        <w:rPr>
          <w:rFonts w:ascii="Georgia" w:hAnsi="Georgia" w:eastAsia="Georgia"/>
          <w:b w:val="0"/>
          <w:i w:val="0"/>
          <w:sz w:val="22"/>
        </w:rPr>
        <w:t>The findings provide observable, descriptive data on how PSAU developing researchers hedge in discipline-specific abstracts. This enables advisers to ground their feedback on thesis abstracts in documented local patterns rather than generic advice, and offers a baseline for departmental discussions on rhetorical expectations for hedging in Agriculture, Veterinary Medicine, and Biology.</w:t>
      </w:r>
    </w:p>
    <w:p>
      <w:pPr>
        <w:spacing w:line="480" w:lineRule="auto" w:before="0" w:after="0"/>
        <w:ind w:firstLine="720"/>
        <w:jc w:val="both"/>
      </w:pPr>
      <w:r>
        <w:rPr>
          <w:rFonts w:ascii="Georgia" w:hAnsi="Georgia" w:eastAsia="Georgia"/>
          <w:b/>
          <w:i w:val="0"/>
          <w:sz w:val="22"/>
        </w:rPr>
        <w:t xml:space="preserve">BAELS Program. </w:t>
      </w:r>
      <w:r>
        <w:rPr>
          <w:rFonts w:ascii="Georgia" w:hAnsi="Georgia" w:eastAsia="Georgia"/>
          <w:b w:val="0"/>
          <w:i w:val="0"/>
          <w:sz w:val="22"/>
        </w:rPr>
        <w:t>The study demonstrates that corpus-assisted discourse analysis is a viable methodology for BAELS thesis research. It provides a replicable model that future researchers can adapt for other genres, disciplines, or institutions.</w:t>
      </w:r>
    </w:p>
    <w:p>
      <w:pPr>
        <w:spacing w:line="480" w:lineRule="auto" w:before="0" w:after="0"/>
        <w:ind w:firstLine="720"/>
        <w:jc w:val="both"/>
      </w:pPr>
      <w:r>
        <w:rPr>
          <w:rFonts w:ascii="Georgia" w:hAnsi="Georgia" w:eastAsia="Georgia"/>
          <w:b/>
          <w:i w:val="0"/>
          <w:sz w:val="22"/>
        </w:rPr>
        <w:t xml:space="preserve">Future Researchers. </w:t>
      </w:r>
      <w:r>
        <w:rPr>
          <w:rFonts w:ascii="Georgia" w:hAnsi="Georgia" w:eastAsia="Georgia"/>
          <w:b w:val="0"/>
          <w:i w:val="0"/>
          <w:sz w:val="22"/>
        </w:rPr>
        <w:t>The corpus construction protocol, disproportionate stratified systematic sampling design with per-stratum intervals, and Hyland-based coding scheme can serve as a methodological template. This template can support multi-institutional comparisons, longitudinal studies of hedging development, or L1 and L2 comparative research in Philippine academic contexts.</w:t>
      </w:r>
    </w:p>
    <w:p>
      <w:pPr>
        <w:keepNext/>
        <w:keepLines/>
        <w:spacing w:before="240" w:after="240" w:line="480" w:lineRule="auto"/>
        <w:jc w:val="left"/>
      </w:pPr>
      <w:r>
        <w:rPr>
          <w:rFonts w:ascii="Georgia" w:hAnsi="Georgia" w:eastAsia="Georgia"/>
          <w:b/>
          <w:i w:val="0"/>
          <w:sz w:val="24"/>
        </w:rPr>
        <w:t>SCOPE AND LIMITATIONS</w:t>
      </w:r>
    </w:p>
    <w:p>
      <w:pPr>
        <w:spacing w:line="480" w:lineRule="auto" w:before="0" w:after="0"/>
        <w:ind w:firstLine="720"/>
        <w:jc w:val="both"/>
      </w:pPr>
      <w:r>
        <w:rPr>
          <w:rFonts w:ascii="Georgia" w:hAnsi="Georgia" w:eastAsia="Georgia"/>
          <w:b w:val="0"/>
          <w:i w:val="0"/>
          <w:sz w:val="22"/>
        </w:rPr>
        <w:t>This study focuses on undergraduate thesis abstracts from Agriculture, Veterinary Medicine, and Biology at PSAU, covering theses completed between 2023 and 2025.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while sub-program differences are documented separately.</w:t>
      </w:r>
    </w:p>
    <w:p>
      <w:pPr>
        <w:spacing w:line="480" w:lineRule="auto" w:before="0" w:after="0"/>
        <w:ind w:firstLine="720"/>
        <w:jc w:val="both"/>
      </w:pPr>
      <w:r>
        <w:rPr>
          <w:rFonts w:ascii="Georgia" w:hAnsi="Georgia" w:eastAsia="Georgia"/>
          <w:b w:val="0"/>
          <w:i w:val="0"/>
          <w:sz w:val="22"/>
        </w:rPr>
        <w:t>This sample size is consistent with comparable corpus-assisted discourse studies at the undergraduate level. Khunasathitchai et al. (2025) analyzed 60 abstracts, and Wang (2022) used similar per-discipline proportions.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zero-inflated sample. However, pilot testing revealed that 75% of the sampled abstracts contained zero hedging devices. The pilot’s 75% zero-hedge rate was higher than the main corpus’s 46.7%, likely reflecting the small pilot sample size (3–5 abstracts) rather than a systematic difference between the pilot and main corpora. The study acknowledges the high likelihood of a zero-inflated dataset. While the absence of hedging prevents a robust comparative analysis of hedge variety, it is treated in this study as a valid indicator of categorical claim formulation rather than a methodological failure.</w:t>
      </w:r>
    </w:p>
    <w:p>
      <w:pPr>
        <w:spacing w:line="480" w:lineRule="auto" w:before="0" w:after="0"/>
        <w:ind w:firstLine="720"/>
        <w:jc w:val="both"/>
      </w:pPr>
      <w:r>
        <w:rPr>
          <w:rFonts w:ascii="Georgia" w:hAnsi="Georgia" w:eastAsia="Georgia"/>
          <w:b w:val="0"/>
          <w:i w:val="0"/>
          <w:sz w:val="22"/>
        </w:rPr>
        <w:t>The study is delimited to complete English-language abstracts. Abstracts with significant Filipino code-switching are excluded to maintain linguistic consistency. Disciplinary classification follows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p>
    <w:p>
      <w:pPr>
        <w:spacing w:line="480" w:lineRule="auto" w:before="0" w:after="0"/>
        <w:ind w:firstLine="720"/>
        <w:jc w:val="both"/>
      </w:pPr>
      <w:r>
        <w:rPr>
          <w:rFonts w:ascii="Georgia" w:hAnsi="Georgia" w:eastAsia="Georgia"/>
          <w:b w:val="0"/>
          <w:i w:val="0"/>
          <w:sz w:val="22"/>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delimited to hedging devices and does not examine boosters or other stance markers. While credibility in academic writing involves a balance of caution and certainty, this study focuses specifically on the management of uncertainty, which is often the more challenging rhetorical skill for developing L2 researchers to acquire.</w:t>
      </w:r>
    </w:p>
    <w:p>
      <w:pPr>
        <w:spacing w:line="480" w:lineRule="auto" w:before="0" w:after="0"/>
        <w:ind w:firstLine="720"/>
        <w:jc w:val="both"/>
      </w:pPr>
      <w:r>
        <w:t>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60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pPr>
        <w:spacing w:line="480" w:lineRule="auto" w:before="0" w:after="0"/>
        <w:ind w:firstLine="720"/>
        <w:jc w:val="both"/>
      </w:pPr>
      <w:r>
        <w:t>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pPr>
        <w:spacing w:line="480" w:lineRule="auto" w:before="0" w:after="0"/>
        <w:ind w:firstLine="720"/>
        <w:jc w:val="both"/>
      </w:pPr>
      <w:r>
        <w:rPr>
          <w:rFonts w:ascii="Georgia" w:hAnsi="Georgia" w:eastAsia="Georgia"/>
          <w:b w:val="0"/>
          <w:i w:val="0"/>
          <w:sz w:val="22"/>
        </w:rPr>
        <w:t>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p>
    <w:p>
      <w:pPr>
        <w:keepNext/>
        <w:keepLines/>
        <w:spacing w:before="240" w:after="240" w:line="480" w:lineRule="auto"/>
        <w:jc w:val="left"/>
      </w:pPr>
      <w:r>
        <w:rPr>
          <w:rFonts w:ascii="Georgia" w:hAnsi="Georgia" w:eastAsia="Georgia"/>
          <w:b/>
          <w:i w:val="0"/>
          <w:sz w:val="24"/>
        </w:rPr>
        <w:t>DEFINITION OF TERMS</w:t>
      </w:r>
    </w:p>
    <w:p>
      <w:pPr>
        <w:spacing w:line="480" w:lineRule="auto" w:before="0" w:after="0"/>
        <w:ind w:firstLine="720"/>
        <w:jc w:val="both"/>
      </w:pPr>
      <w:r>
        <w:rPr>
          <w:rFonts w:ascii="Georgia" w:hAnsi="Georgia" w:eastAsia="Georgia"/>
          <w:b w:val="0"/>
          <w:i w:val="0"/>
          <w:sz w:val="22"/>
        </w:rPr>
        <w:t>The following terms are defined conceptually and operationally to ensure consistency throughout the study:</w:t>
      </w:r>
    </w:p>
    <w:p>
      <w:pPr>
        <w:spacing w:line="480" w:lineRule="auto" w:before="0" w:after="0"/>
        <w:ind w:firstLine="720"/>
        <w:jc w:val="both"/>
      </w:pPr>
      <w:r>
        <w:rPr>
          <w:rFonts w:ascii="Georgia" w:hAnsi="Georgia" w:eastAsia="Georgia"/>
          <w:b/>
          <w:i w:val="0"/>
          <w:sz w:val="22"/>
        </w:rPr>
        <w:t xml:space="preserve">Abstract, </w:t>
      </w:r>
      <w:r>
        <w:rPr>
          <w:rFonts w:ascii="Georgia" w:hAnsi="Georgia" w:eastAsia="Georgia"/>
          <w:b w:val="0"/>
          <w:i w:val="0"/>
          <w:sz w:val="22"/>
        </w:rPr>
        <w:t>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pPr>
        <w:spacing w:line="480" w:lineRule="auto" w:before="0" w:after="0"/>
        <w:ind w:firstLine="720"/>
        <w:jc w:val="both"/>
      </w:pPr>
      <w:r>
        <w:rPr>
          <w:rFonts w:ascii="Georgia" w:hAnsi="Georgia" w:eastAsia="Georgia"/>
          <w:b/>
          <w:i w:val="0"/>
          <w:sz w:val="22"/>
        </w:rPr>
        <w:t xml:space="preserve">Adverbial Hedges, </w:t>
      </w:r>
      <w:r>
        <w:rPr>
          <w:rFonts w:ascii="Georgia" w:hAnsi="Georgia" w:eastAsia="Georgia"/>
          <w:b w:val="0"/>
          <w:i w:val="0"/>
          <w:sz w:val="22"/>
        </w:rPr>
        <w:t>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p>
    <w:p>
      <w:pPr>
        <w:spacing w:line="480" w:lineRule="auto" w:before="0" w:after="0"/>
        <w:ind w:firstLine="720"/>
        <w:jc w:val="both"/>
      </w:pPr>
      <w:r>
        <w:rPr>
          <w:rFonts w:ascii="Georgia" w:hAnsi="Georgia" w:eastAsia="Georgia"/>
          <w:b/>
          <w:i w:val="0"/>
          <w:sz w:val="22"/>
        </w:rPr>
        <w:t xml:space="preserve">Applied Life Sciences, </w:t>
      </w:r>
      <w:r>
        <w:rPr>
          <w:rFonts w:ascii="Georgia" w:hAnsi="Georgia" w:eastAsia="Georgia"/>
          <w:b w:val="0"/>
          <w:i w:val="0"/>
          <w:sz w:val="22"/>
        </w:rPr>
        <w:t>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pPr>
        <w:spacing w:line="480" w:lineRule="auto" w:before="0" w:after="0"/>
        <w:ind w:firstLine="720"/>
        <w:jc w:val="both"/>
      </w:pPr>
      <w:r>
        <w:rPr>
          <w:rFonts w:ascii="Georgia" w:hAnsi="Georgia" w:eastAsia="Georgia"/>
          <w:b/>
          <w:i w:val="0"/>
          <w:sz w:val="22"/>
        </w:rPr>
        <w:t xml:space="preserve">Claim Responsibility, </w:t>
      </w:r>
      <w:r>
        <w:rPr>
          <w:rFonts w:ascii="Georgia" w:hAnsi="Georgia" w:eastAsia="Georgia"/>
          <w:b w:val="0"/>
          <w:i w:val="0"/>
          <w:sz w:val="22"/>
        </w:rPr>
        <w:t>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pPr>
        <w:spacing w:line="480" w:lineRule="auto" w:before="0" w:after="0"/>
        <w:ind w:firstLine="720"/>
        <w:jc w:val="both"/>
      </w:pPr>
      <w:r>
        <w:rPr>
          <w:rFonts w:ascii="Georgia" w:hAnsi="Georgia" w:eastAsia="Georgia"/>
          <w:b/>
          <w:i w:val="0"/>
          <w:sz w:val="22"/>
        </w:rPr>
        <w:t xml:space="preserve">Clause-Level Hedges, </w:t>
      </w:r>
      <w:r>
        <w:rPr>
          <w:rFonts w:ascii="Georgia" w:hAnsi="Georgia" w:eastAsia="Georgia"/>
          <w:b w:val="0"/>
          <w:i w:val="0"/>
          <w:sz w:val="22"/>
        </w:rPr>
        <w:t>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pPr>
        <w:spacing w:line="480" w:lineRule="auto" w:before="0" w:after="0"/>
        <w:ind w:firstLine="720"/>
        <w:jc w:val="both"/>
      </w:pPr>
      <w:r>
        <w:rPr>
          <w:rFonts w:ascii="Georgia" w:hAnsi="Georgia" w:eastAsia="Georgia"/>
          <w:b/>
          <w:i w:val="0"/>
          <w:sz w:val="22"/>
        </w:rPr>
        <w:t xml:space="preserve">Corpus-Assisted Discourse Analysis, </w:t>
      </w:r>
      <w:r>
        <w:rPr>
          <w:rFonts w:ascii="Georgia" w:hAnsi="Georgia" w:eastAsia="Georgia"/>
          <w:b w:val="0"/>
          <w:i w:val="0"/>
          <w:sz w:val="22"/>
        </w:rPr>
        <w:t>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pPr>
        <w:spacing w:line="480" w:lineRule="auto" w:before="0" w:after="0"/>
        <w:ind w:firstLine="720"/>
        <w:jc w:val="both"/>
      </w:pPr>
      <w:r>
        <w:rPr>
          <w:rFonts w:ascii="Georgia" w:hAnsi="Georgia" w:eastAsia="Georgia"/>
          <w:b/>
          <w:i w:val="0"/>
          <w:sz w:val="22"/>
        </w:rPr>
        <w:t xml:space="preserve">Disciplinary Variation, </w:t>
      </w:r>
      <w:r>
        <w:rPr>
          <w:rFonts w:ascii="Georgia" w:hAnsi="Georgia" w:eastAsia="Georgia"/>
          <w:b w:val="0"/>
          <w:i w:val="0"/>
          <w:sz w:val="22"/>
        </w:rPr>
        <w:t>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pPr>
        <w:spacing w:line="480" w:lineRule="auto" w:before="0" w:after="0"/>
        <w:ind w:firstLine="720"/>
        <w:jc w:val="both"/>
      </w:pPr>
      <w:r>
        <w:rPr>
          <w:rFonts w:ascii="Georgia" w:hAnsi="Georgia" w:eastAsia="Georgia"/>
          <w:b/>
          <w:i w:val="0"/>
          <w:sz w:val="22"/>
        </w:rPr>
        <w:t xml:space="preserve">Epistemic Stance, </w:t>
      </w:r>
      <w:r>
        <w:rPr>
          <w:rFonts w:ascii="Georgia" w:hAnsi="Georgia" w:eastAsia="Georgia"/>
          <w:b w:val="0"/>
          <w:i w:val="0"/>
          <w:sz w:val="22"/>
        </w:rPr>
        <w:t>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indicates a stance of certainty or absolute commitment.</w:t>
      </w:r>
    </w:p>
    <w:p>
      <w:pPr>
        <w:spacing w:line="480" w:lineRule="auto" w:before="0" w:after="0"/>
        <w:ind w:firstLine="720"/>
        <w:jc w:val="both"/>
      </w:pPr>
      <w:r>
        <w:rPr>
          <w:rFonts w:ascii="Georgia" w:hAnsi="Georgia" w:eastAsia="Georgia"/>
          <w:b/>
          <w:i w:val="0"/>
          <w:sz w:val="22"/>
        </w:rPr>
        <w:t xml:space="preserve">Hedge Function, </w:t>
      </w:r>
      <w:r>
        <w:rPr>
          <w:rFonts w:ascii="Georgia" w:hAnsi="Georgia" w:eastAsia="Georgia"/>
          <w:b w:val="0"/>
          <w:i w:val="0"/>
          <w:sz w:val="22"/>
        </w:rPr>
        <w:t>conceptually, hedge function refers to the rhetorical purpose a hedging device serves in its discourse context. Operationally, this refers to three categories coded in this study based on Hyland’s (1998) framework. These are epistemic caution, which expresses uncertainty about a claim’s truth or accuracy, politeness, which shows deference to readers or prior research, and discourse organization, which structures text or manages reader expectations.</w:t>
      </w:r>
    </w:p>
    <w:p>
      <w:pPr>
        <w:spacing w:line="480" w:lineRule="auto" w:before="0" w:after="0"/>
        <w:ind w:firstLine="720"/>
        <w:jc w:val="both"/>
      </w:pPr>
      <w:r>
        <w:rPr>
          <w:rFonts w:ascii="Georgia" w:hAnsi="Georgia" w:eastAsia="Georgia"/>
          <w:b/>
          <w:i w:val="0"/>
          <w:sz w:val="22"/>
        </w:rPr>
        <w:t xml:space="preserve">Hedging, </w:t>
      </w:r>
      <w:r>
        <w:rPr>
          <w:rFonts w:ascii="Georgia" w:hAnsi="Georgia" w:eastAsia="Georgia"/>
          <w:b w:val="0"/>
          <w:i w:val="0"/>
          <w:sz w:val="22"/>
        </w:rPr>
        <w:t>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p>
    <w:p>
      <w:pPr>
        <w:spacing w:line="480" w:lineRule="auto" w:before="0" w:after="0"/>
        <w:ind w:firstLine="720"/>
        <w:jc w:val="both"/>
      </w:pPr>
      <w:r>
        <w:rPr>
          <w:rFonts w:ascii="Georgia" w:hAnsi="Georgia" w:eastAsia="Georgia"/>
          <w:b/>
          <w:i w:val="0"/>
          <w:sz w:val="22"/>
        </w:rPr>
        <w:t xml:space="preserve">Lexical Hedges, </w:t>
      </w:r>
      <w:r>
        <w:rPr>
          <w:rFonts w:ascii="Georgia" w:hAnsi="Georgia" w:eastAsia="Georgia"/>
          <w:b w:val="0"/>
          <w:i w:val="0"/>
          <w:sz w:val="22"/>
        </w:rPr>
        <w:t>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p>
    <w:p>
      <w:pPr>
        <w:spacing w:line="480" w:lineRule="auto" w:before="0" w:after="0"/>
        <w:ind w:firstLine="720"/>
        <w:jc w:val="both"/>
      </w:pPr>
      <w:r>
        <w:rPr>
          <w:rFonts w:ascii="Georgia" w:hAnsi="Georgia" w:eastAsia="Georgia"/>
          <w:b/>
          <w:i w:val="0"/>
          <w:sz w:val="22"/>
        </w:rPr>
        <w:t xml:space="preserve">Modal Verbs, </w:t>
      </w:r>
      <w:r>
        <w:rPr>
          <w:rFonts w:ascii="Georgia" w:hAnsi="Georgia" w:eastAsia="Georgia"/>
          <w:b w:val="0"/>
          <w:i w:val="0"/>
          <w:sz w:val="22"/>
        </w:rPr>
        <w:t>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p>
    <w:p>
      <w:pPr>
        <w:spacing w:line="480" w:lineRule="auto" w:before="0" w:after="0"/>
        <w:ind w:firstLine="720"/>
        <w:jc w:val="both"/>
      </w:pPr>
      <w:r>
        <w:rPr>
          <w:rFonts w:ascii="Georgia" w:hAnsi="Georgia" w:eastAsia="Georgia"/>
          <w:b/>
          <w:i w:val="0"/>
          <w:sz w:val="22"/>
        </w:rPr>
        <w:t xml:space="preserve">Normalized Frequency, </w:t>
      </w:r>
      <w:r>
        <w:rPr>
          <w:rFonts w:ascii="Georgia" w:hAnsi="Georgia" w:eastAsia="Georgia"/>
          <w:b w:val="0"/>
          <w:i w:val="0"/>
          <w:sz w:val="22"/>
        </w:rPr>
        <w:t>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pPr>
        <w:spacing w:line="480" w:lineRule="auto" w:before="0" w:after="0"/>
        <w:ind w:firstLine="720"/>
        <w:jc w:val="both"/>
      </w:pPr>
      <w:r>
        <w:rPr>
          <w:rFonts w:ascii="Georgia" w:hAnsi="Georgia" w:eastAsia="Georgia"/>
          <w:b/>
          <w:i w:val="0"/>
          <w:sz w:val="22"/>
        </w:rPr>
        <w:t xml:space="preserve">Pro Forma Hedging, </w:t>
      </w:r>
      <w:r>
        <w:rPr>
          <w:rFonts w:ascii="Georgia" w:hAnsi="Georgia" w:eastAsia="Georgia"/>
          <w:b w:val="0"/>
          <w:i w:val="0"/>
          <w:sz w:val="22"/>
        </w:rPr>
        <w:t>conceptually, pro forma hedging refers to the deployment of hedge-like lexical items (e.g., potential) in formulaic syntactic frames without corresponding adjustment of the writer’s commitment to the claim. Operationally, this term is applied in the present study to the observed pattern where a single lexical token (“potential”) appears in nearly identical syntactic positions across multiple abstracts while all hedges serve a single function. The term is offered as a descriptive label, not as an established construct in the hedging literature.</w:t>
      </w:r>
    </w:p>
    <w:p>
      <w:pPr>
        <w:sectPr>
          <w:headerReference w:type="default" r:id="rId9"/>
          <w:headerReference w:type="first" r:id="rId10"/>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METHODOLOGY</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chapter describes the research design, institutional context, data collection process, and corpus selection for the study. Each methodological decision was justified by the nature of the research questions and the practical constraints of an undergraduate thesis.</w:t>
      </w:r>
    </w:p>
    <w:p>
      <w:pPr>
        <w:keepNext/>
        <w:keepLines/>
        <w:spacing w:before="240" w:after="240" w:line="480" w:lineRule="auto"/>
        <w:jc w:val="left"/>
      </w:pPr>
      <w:r>
        <w:rPr>
          <w:rFonts w:ascii="Georgia" w:hAnsi="Georgia" w:eastAsia="Georgia"/>
          <w:b/>
          <w:i w:val="0"/>
          <w:sz w:val="24"/>
        </w:rPr>
        <w:t>RESEARCH CONTEXT</w:t>
      </w:r>
    </w:p>
    <w:p>
      <w:pPr>
        <w:spacing w:line="480" w:lineRule="auto" w:before="0" w:after="0"/>
        <w:ind w:firstLine="720"/>
        <w:jc w:val="both"/>
      </w:pPr>
      <w:r>
        <w:rPr>
          <w:rFonts w:ascii="Georgia" w:hAnsi="Georgia" w:eastAsia="Georgia"/>
          <w:b w:val="0"/>
          <w:i w:val="0"/>
          <w:sz w:val="22"/>
        </w:rPr>
        <w:t>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p>
    <w:p>
      <w:pPr>
        <w:spacing w:line="480" w:lineRule="auto" w:before="0" w:after="0"/>
        <w:ind w:firstLine="720"/>
        <w:jc w:val="both"/>
      </w:pPr>
      <w:r>
        <w:rPr>
          <w:rFonts w:ascii="Georgia" w:hAnsi="Georgia" w:eastAsia="Georgia"/>
          <w:b w:val="0"/>
          <w:i w:val="0"/>
          <w:sz w:val="22"/>
        </w:rPr>
        <w:t>The Philippine higher education context is relevant because English is the official medium of academic writing instruction at PSAU despite being a second language for most of the population. Hedging is not a standard component of academic writing curricula in most Philippine universities,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p>
    <w:p>
      <w:pPr>
        <w:spacing w:line="480" w:lineRule="auto" w:before="0" w:after="0"/>
        <w:ind w:firstLine="720"/>
        <w:jc w:val="both"/>
      </w:pPr>
      <w:r>
        <w:rPr>
          <w:rFonts w:ascii="Georgia" w:hAnsi="Georgia" w:eastAsia="Georgia"/>
          <w:b w:val="0"/>
          <w:i w:val="0"/>
          <w:sz w:val="22"/>
        </w:rPr>
        <w:t>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p>
    <w:p>
      <w:pPr>
        <w:keepNext/>
        <w:keepLines/>
        <w:spacing w:before="240" w:after="240" w:line="480" w:lineRule="auto"/>
        <w:jc w:val="left"/>
      </w:pPr>
      <w:r>
        <w:rPr>
          <w:rFonts w:ascii="Georgia" w:hAnsi="Georgia" w:eastAsia="Georgia"/>
          <w:b/>
          <w:i w:val="0"/>
          <w:sz w:val="24"/>
        </w:rPr>
        <w:t>RESEARCH DESIGN</w:t>
      </w:r>
    </w:p>
    <w:p>
      <w:pPr>
        <w:spacing w:line="480" w:lineRule="auto" w:before="0" w:after="0"/>
        <w:ind w:firstLine="720"/>
        <w:jc w:val="both"/>
      </w:pPr>
      <w:r>
        <w:rPr>
          <w:rFonts w:ascii="Georgia" w:hAnsi="Georgia" w:eastAsia="Georgia"/>
          <w:b w:val="0"/>
          <w:i w:val="0"/>
          <w:sz w:val="22"/>
        </w:rPr>
        <w:t>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p>
    <w:p>
      <w:pPr>
        <w:keepNext/>
        <w:keepLines/>
        <w:spacing w:before="240" w:after="240" w:line="480" w:lineRule="auto"/>
        <w:jc w:val="left"/>
      </w:pPr>
      <w:r>
        <w:rPr>
          <w:rFonts w:ascii="Georgia" w:hAnsi="Georgia" w:eastAsia="Georgia"/>
          <w:b/>
          <w:i w:val="0"/>
          <w:sz w:val="24"/>
        </w:rPr>
        <w:t>RESEARCH PROCESS</w:t>
      </w:r>
    </w:p>
    <w:p>
      <w:pPr>
        <w:spacing w:line="480" w:lineRule="auto" w:before="0" w:after="0"/>
        <w:ind w:firstLine="720"/>
        <w:jc w:val="both"/>
      </w:pPr>
      <w:r>
        <w:rPr>
          <w:rFonts w:ascii="Georgia" w:hAnsi="Georgia" w:eastAsia="Georgia"/>
          <w:b w:val="0"/>
          <w:i w:val="0"/>
          <w:sz w:val="22"/>
        </w:rPr>
        <w:t>The study proceeded through the following steps:</w:t>
      </w:r>
    </w:p>
    <w:p>
      <w:pPr>
        <w:spacing w:line="480" w:lineRule="auto" w:before="0" w:after="0"/>
        <w:ind w:firstLine="720"/>
        <w:jc w:val="both"/>
      </w:pPr>
      <w:r>
        <w:rPr>
          <w:rFonts w:ascii="Georgia" w:hAnsi="Georgia" w:eastAsia="Georgia"/>
          <w:b/>
          <w:i w:val="0"/>
          <w:sz w:val="22"/>
        </w:rPr>
        <w:t xml:space="preserve">a. Requesting Permission. </w:t>
      </w:r>
      <w:r>
        <w:rPr>
          <w:rFonts w:ascii="Georgia" w:hAnsi="Georgia" w:eastAsia="Georgia"/>
          <w:b w:val="0"/>
          <w:i w:val="0"/>
          <w:sz w:val="22"/>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pPr>
        <w:spacing w:line="480" w:lineRule="auto" w:before="0" w:after="0"/>
        <w:ind w:firstLine="720"/>
        <w:jc w:val="both"/>
      </w:pPr>
      <w:r>
        <w:rPr>
          <w:rFonts w:ascii="Georgia" w:hAnsi="Georgia" w:eastAsia="Georgia"/>
          <w:b/>
          <w:i w:val="0"/>
          <w:sz w:val="22"/>
        </w:rPr>
        <w:t xml:space="preserve">b. Corpus Construction. </w:t>
      </w:r>
      <w:r>
        <w:rPr>
          <w:rFonts w:ascii="Georgia" w:hAnsi="Georgia" w:eastAsia="Georgia"/>
          <w:b w:val="0"/>
          <w:i w:val="0"/>
          <w:sz w:val="22"/>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follows the degree program under which each thesis was officially submitted (e.g., B.S. Agriculture, B.S. Biology, D.V.M.), not research topic, to ensure objective categorization.</w:t>
      </w:r>
    </w:p>
    <w:p>
      <w:pPr>
        <w:spacing w:line="480" w:lineRule="auto" w:before="0" w:after="0"/>
        <w:ind w:firstLine="720"/>
        <w:jc w:val="both"/>
      </w:pPr>
      <w:r>
        <w:rPr>
          <w:rFonts w:ascii="Georgia" w:hAnsi="Georgia" w:eastAsia="Georgia"/>
          <w:b/>
          <w:i w:val="0"/>
          <w:sz w:val="22"/>
        </w:rPr>
        <w:t xml:space="preserve">c. Text Extraction. </w:t>
      </w:r>
      <w:r>
        <w:rPr>
          <w:rFonts w:ascii="Georgia" w:hAnsi="Georgia" w:eastAsia="Georgia"/>
          <w:b w:val="0"/>
          <w:i w:val="0"/>
          <w:sz w:val="22"/>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(Acs1–A10, Aas1–A10, VM1–VM20, B1–B20) and organized by discipline.</w:t>
      </w:r>
    </w:p>
    <w:p>
      <w:pPr>
        <w:spacing w:line="480" w:lineRule="auto" w:before="0" w:after="0"/>
        <w:ind w:firstLine="720"/>
        <w:jc w:val="both"/>
      </w:pPr>
      <w:r>
        <w:rPr>
          <w:rFonts w:ascii="Georgia" w:hAnsi="Georgia" w:eastAsia="Georgia"/>
          <w:b/>
          <w:i w:val="0"/>
          <w:sz w:val="22"/>
        </w:rPr>
        <w:t xml:space="preserve">d. Pilot Testing and Reliability Checking. </w:t>
      </w:r>
      <w:r>
        <w:rPr>
          <w:rFonts w:ascii="Georgia" w:hAnsi="Georgia" w:eastAsia="Georgia"/>
          <w:b w:val="0"/>
          <w:i w:val="0"/>
          <w:sz w:val="22"/>
        </w:rPr>
        <w:t>A pilot test was conducted on 3 to 5 abstracts not included in the final corpus to refine the coding scheme and establish decision rules for ambiguous cases (see Appendix A). Pilot abstracts were drawn from the PSAU library archives but from theses completed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p>
    <w:p>
      <w:pPr>
        <w:spacing w:line="480" w:lineRule="auto" w:before="0" w:after="0"/>
        <w:ind w:firstLine="720"/>
        <w:jc w:val="both"/>
      </w:pPr>
      <w:r>
        <w:rPr>
          <w:rFonts w:ascii="Georgia" w:hAnsi="Georgia" w:eastAsia="Georgia"/>
          <w:b/>
          <w:i w:val="0"/>
          <w:sz w:val="22"/>
        </w:rPr>
        <w:t xml:space="preserve">e. Data Analysis. </w:t>
      </w:r>
      <w:r>
        <w:rPr>
          <w:rFonts w:ascii="Georgia" w:hAnsi="Georgia" w:eastAsia="Georgia"/>
          <w:b w:val="0"/>
          <w:i w:val="0"/>
          <w:sz w:val="22"/>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p>
    <w:p>
      <w:pPr>
        <w:spacing w:line="480" w:lineRule="auto" w:before="0" w:after="0"/>
        <w:ind w:firstLine="720"/>
        <w:jc w:val="both"/>
      </w:pPr>
      <w:r>
        <w:rPr>
          <w:rFonts w:ascii="Georgia" w:hAnsi="Georgia" w:eastAsia="Georgia"/>
          <w:b/>
          <w:i w:val="0"/>
          <w:sz w:val="22"/>
        </w:rPr>
        <w:t xml:space="preserve">f. Timeline. </w:t>
      </w:r>
      <w:r>
        <w:rPr>
          <w:rFonts w:ascii="Georgia" w:hAnsi="Georgia" w:eastAsia="Georgia"/>
          <w:b w:val="0"/>
          <w:i w:val="0"/>
          <w:sz w:val="22"/>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estimated timeframe: approximately 5 months.</w:t>
      </w:r>
    </w:p>
    <w:p>
      <w:pPr>
        <w:keepNext/>
        <w:keepLines/>
        <w:spacing w:before="240" w:after="240" w:line="480" w:lineRule="auto"/>
        <w:jc w:val="left"/>
      </w:pPr>
      <w:r>
        <w:rPr>
          <w:rFonts w:ascii="Georgia" w:hAnsi="Georgia" w:eastAsia="Georgia"/>
          <w:b/>
          <w:i w:val="0"/>
          <w:sz w:val="24"/>
        </w:rPr>
        <w:t>CODING REVISIONS AND BORDERLINE CASES</w:t>
      </w:r>
    </w:p>
    <w:p>
      <w:pPr>
        <w:spacing w:line="480" w:lineRule="auto" w:before="0" w:after="0"/>
        <w:ind w:firstLine="720"/>
        <w:jc w:val="both"/>
      </w:pPr>
      <w:r>
        <w:rPr>
          <w:rFonts w:ascii="Georgia" w:hAnsi="Georgia" w:eastAsia="Georgia"/>
          <w:b w:val="0"/>
          <w:i w:val="0"/>
          <w:sz w:val="22"/>
        </w:rPr>
        <w:t>Following an initial coding pass, borderline tokens were re-examined using the contextual decision rules in Appendix A. Particular attention was given to potentially ambiguous forms such as can, potential, indicating, and possibility, because these forms may function either as epistemic hedges or as non-epistemic lexical items depending on context. Four rule refinements were applied during this revision pass. First, “can” combined with an active content verb describing a treatment effect (enhance, promote, reduce, help) was classified as capability (FP-Cap) regardless of whether it appeared inside a “suggests that” clause, because the Working Test showed that removing “can” alone did not change the epistemic weight of the clause when “suggests” was already carrying the hedge. Second, the “indicating” tautology test was extended beyond numeric restatement to cover field-standard interpretive thresholds: “non-toxic” from no mortality observed, “limited benefits” from poor performance, and “superior feed efficiency” from lower feed conversion ratio were all reclassified as operational restatements (FP-Gen) rather than inferential hedges. Third, the “potential + noun” topic-naming rule was extended to “possibility + noun” in aim and methods sentences. Fourth, a multi-hedge Working Test rule was added: when a sentence contains multiple hedge-like tokens, each token is tested individually in isolation, ignoring the other hedges in the sentence; a token counts only if removing it alone changes the epistemic weight of its own clause. The final corpus therefore reflects contextual rather than purely lexical classification, and the 63 rejected candidates document the decision trail for tokens that were considered but ultimately excluded. Additionally, the outlier abstract Acs2 was found to use a repeated hedging template (“This suggests that while X might not have been Y, Z could still [verb] beneficial effects”) twice with light variation, inflating its own token count through formulaic repetition rather than independent hedging decisions.</w:t>
      </w:r>
    </w:p>
    <w:p>
      <w:pPr>
        <w:keepNext/>
        <w:keepLines/>
        <w:spacing w:before="240" w:after="240" w:line="480" w:lineRule="auto"/>
        <w:jc w:val="left"/>
      </w:pPr>
      <w:r>
        <w:rPr>
          <w:rFonts w:ascii="Georgia" w:hAnsi="Georgia" w:eastAsia="Georgia"/>
          <w:b/>
          <w:i w:val="0"/>
          <w:sz w:val="24"/>
        </w:rPr>
        <w:t>RESEARCH CORPUS</w:t>
      </w:r>
    </w:p>
    <w:p>
      <w:pPr>
        <w:spacing w:line="480" w:lineRule="auto" w:before="0" w:after="0"/>
        <w:ind w:firstLine="720"/>
        <w:jc w:val="both"/>
      </w:pPr>
      <w:r>
        <w:rPr>
          <w:rFonts w:ascii="Georgia" w:hAnsi="Georgia" w:eastAsia="Georgia"/>
          <w:b w:val="0"/>
          <w:i w:val="0"/>
          <w:sz w:val="22"/>
        </w:rPr>
        <w:t>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and Wang (2022) used similar per-discipline proportions. For a manually coded functional analysis at a single institution, 60 texts allow sufficient depth of interpretation within the timeframe and resources of a BA thesis. The study treats findings as baseline descriptive data for institutional curriculum review.</w:t>
      </w:r>
    </w:p>
    <w:p>
      <w:pPr>
        <w:spacing w:before="240" w:after="0"/>
      </w:pPr>
      <w:r>
        <w:rPr>
          <w:rFonts w:ascii="Georgia" w:hAnsi="Georgia" w:eastAsia="Georgia"/>
          <w:b/>
          <w:i w:val="0"/>
          <w:sz w:val="22"/>
        </w:rPr>
        <w:t>Table 1</w:t>
      </w:r>
    </w:p>
    <w:p>
      <w:pPr>
        <w:spacing w:after="120"/>
      </w:pPr>
      <w:r>
        <w:rPr>
          <w:rFonts w:ascii="Georgia" w:hAnsi="Georgia" w:eastAsia="Georgia"/>
          <w:b w:val="0"/>
          <w:i/>
          <w:sz w:val="22"/>
        </w:rPr>
        <w:t>PSAU Thesis Repository: Population and Sampling Summary</w:t>
      </w:r>
    </w:p>
    <w:tbl>
      <w:tblPr>
        <w:tblStyle w:val="TableGrid"/>
        <w:tblW w:type="auto" w:w="0"/>
        <w:tblLayout w:type="autofit"/>
        <w:tblLook w:firstColumn="1" w:firstRow="1" w:lastColumn="0" w:lastRow="0" w:noHBand="0" w:noVBand="1" w:val="04A0"/>
      </w:tblPr>
      <w:tblGrid>
        <w:gridCol w:w="1384"/>
        <w:gridCol w:w="1384"/>
        <w:gridCol w:w="1384"/>
        <w:gridCol w:w="1384"/>
        <w:gridCol w:w="1384"/>
        <w:gridCol w:w="1384"/>
      </w:tblGrid>
      <w:tr>
        <w:tc>
          <w:tcPr>
            <w:tcW w:type="dxa" w:w="1384"/>
          </w:tcPr>
          <w:p>
            <w:r/>
            <w:r>
              <w:rPr>
                <w:rFonts w:ascii="Georgia" w:hAnsi="Georgia" w:eastAsia="Georgia"/>
                <w:b/>
                <w:i w:val="0"/>
                <w:sz w:val="20"/>
              </w:rPr>
              <w:t>Category</w:t>
            </w:r>
          </w:p>
        </w:tc>
        <w:tc>
          <w:tcPr>
            <w:tcW w:type="dxa" w:w="1384"/>
          </w:tcPr>
          <w:p>
            <w:r/>
            <w:r>
              <w:rPr>
                <w:rFonts w:ascii="Georgia" w:hAnsi="Georgia" w:eastAsia="Georgia"/>
                <w:b/>
                <w:i w:val="0"/>
                <w:sz w:val="20"/>
              </w:rPr>
              <w:t>Biology</w:t>
            </w:r>
          </w:p>
        </w:tc>
        <w:tc>
          <w:tcPr>
            <w:tcW w:type="dxa" w:w="1384"/>
          </w:tcPr>
          <w:p>
            <w:r/>
            <w:r>
              <w:rPr>
                <w:rFonts w:ascii="Georgia" w:hAnsi="Georgia" w:eastAsia="Georgia"/>
                <w:b/>
                <w:i w:val="0"/>
                <w:sz w:val="20"/>
              </w:rPr>
              <w:t>Veterinary Medicine</w:t>
            </w:r>
          </w:p>
        </w:tc>
        <w:tc>
          <w:tcPr>
            <w:tcW w:type="dxa" w:w="1384"/>
          </w:tcPr>
          <w:p>
            <w:r/>
            <w:r>
              <w:rPr>
                <w:rFonts w:ascii="Georgia" w:hAnsi="Georgia" w:eastAsia="Georgia"/>
                <w:b/>
                <w:i w:val="0"/>
                <w:sz w:val="20"/>
              </w:rPr>
              <w:t>Animal Science</w:t>
            </w:r>
          </w:p>
        </w:tc>
        <w:tc>
          <w:tcPr>
            <w:tcW w:type="dxa" w:w="1384"/>
          </w:tcPr>
          <w:p>
            <w:r/>
            <w:r>
              <w:rPr>
                <w:rFonts w:ascii="Georgia" w:hAnsi="Georgia" w:eastAsia="Georgia"/>
                <w:b/>
                <w:i w:val="0"/>
                <w:sz w:val="20"/>
              </w:rPr>
              <w:t>Crop Science</w:t>
            </w:r>
          </w:p>
        </w:tc>
        <w:tc>
          <w:tcPr>
            <w:tcW w:type="dxa" w:w="1384"/>
          </w:tcPr>
          <w:p>
            <w:r/>
            <w:r>
              <w:rPr>
                <w:rFonts w:ascii="Georgia" w:hAnsi="Georgia" w:eastAsia="Georgia"/>
                <w:b/>
                <w:i w:val="0"/>
                <w:sz w:val="20"/>
              </w:rPr>
              <w:t>Total</w:t>
            </w:r>
          </w:p>
        </w:tc>
      </w:tr>
      <w:tr>
        <w:tc>
          <w:tcPr>
            <w:tcW w:type="dxa" w:w="1384"/>
          </w:tcPr>
          <w:p>
            <w:r/>
            <w:r>
              <w:rPr>
                <w:rFonts w:ascii="Georgia" w:hAnsi="Georgia" w:eastAsia="Georgia"/>
                <w:b w:val="0"/>
                <w:i w:val="0"/>
                <w:sz w:val="20"/>
              </w:rPr>
              <w:t>Total repository</w:t>
            </w:r>
          </w:p>
        </w:tc>
        <w:tc>
          <w:tcPr>
            <w:tcW w:type="dxa" w:w="1384"/>
          </w:tcPr>
          <w:p>
            <w:r/>
            <w:r>
              <w:rPr>
                <w:rFonts w:ascii="Georgia" w:hAnsi="Georgia" w:eastAsia="Georgia"/>
                <w:b w:val="0"/>
                <w:i w:val="0"/>
                <w:sz w:val="20"/>
              </w:rPr>
              <w:t>275</w:t>
            </w:r>
          </w:p>
        </w:tc>
        <w:tc>
          <w:tcPr>
            <w:tcW w:type="dxa" w:w="1384"/>
          </w:tcPr>
          <w:p>
            <w:r/>
            <w:r>
              <w:rPr>
                <w:rFonts w:ascii="Georgia" w:hAnsi="Georgia" w:eastAsia="Georgia"/>
                <w:b w:val="0"/>
                <w:i w:val="0"/>
                <w:sz w:val="20"/>
              </w:rPr>
              <w:t>206</w:t>
            </w:r>
          </w:p>
        </w:tc>
        <w:tc>
          <w:tcPr>
            <w:tcW w:type="dxa" w:w="1384"/>
          </w:tcPr>
          <w:p>
            <w:r/>
            <w:r>
              <w:rPr>
                <w:rFonts w:ascii="Georgia" w:hAnsi="Georgia" w:eastAsia="Georgia"/>
                <w:b w:val="0"/>
                <w:i w:val="0"/>
                <w:sz w:val="20"/>
              </w:rPr>
              <w:t>131</w:t>
            </w:r>
          </w:p>
        </w:tc>
        <w:tc>
          <w:tcPr>
            <w:tcW w:type="dxa" w:w="1384"/>
          </w:tcPr>
          <w:p>
            <w:r/>
            <w:r>
              <w:rPr>
                <w:rFonts w:ascii="Georgia" w:hAnsi="Georgia" w:eastAsia="Georgia"/>
                <w:b w:val="0"/>
                <w:i w:val="0"/>
                <w:sz w:val="20"/>
              </w:rPr>
              <w:t>216</w:t>
            </w:r>
          </w:p>
        </w:tc>
        <w:tc>
          <w:tcPr>
            <w:tcW w:type="dxa" w:w="1384"/>
          </w:tcPr>
          <w:p>
            <w:r/>
            <w:r>
              <w:rPr>
                <w:rFonts w:ascii="Georgia" w:hAnsi="Georgia" w:eastAsia="Georgia"/>
                <w:b w:val="0"/>
                <w:i w:val="0"/>
                <w:sz w:val="20"/>
              </w:rPr>
              <w:t>828</w:t>
            </w:r>
          </w:p>
        </w:tc>
      </w:tr>
      <w:tr>
        <w:tc>
          <w:tcPr>
            <w:tcW w:type="dxa" w:w="1384"/>
          </w:tcPr>
          <w:p>
            <w:r/>
            <w:r>
              <w:rPr>
                <w:rFonts w:ascii="Georgia" w:hAnsi="Georgia" w:eastAsia="Georgia"/>
                <w:b w:val="0"/>
                <w:i w:val="0"/>
                <w:sz w:val="20"/>
              </w:rPr>
              <w:t>2023–2025 (target pool)</w:t>
            </w:r>
          </w:p>
        </w:tc>
        <w:tc>
          <w:tcPr>
            <w:tcW w:type="dxa" w:w="1384"/>
          </w:tcPr>
          <w:p>
            <w:r/>
            <w:r>
              <w:rPr>
                <w:rFonts w:ascii="Georgia" w:hAnsi="Georgia" w:eastAsia="Georgia"/>
                <w:b w:val="0"/>
                <w:i w:val="0"/>
                <w:sz w:val="20"/>
              </w:rPr>
              <w:t>145</w:t>
            </w:r>
          </w:p>
        </w:tc>
        <w:tc>
          <w:tcPr>
            <w:tcW w:type="dxa" w:w="1384"/>
          </w:tcPr>
          <w:p>
            <w:r/>
            <w:r>
              <w:rPr>
                <w:rFonts w:ascii="Georgia" w:hAnsi="Georgia" w:eastAsia="Georgia"/>
                <w:b w:val="0"/>
                <w:i w:val="0"/>
                <w:sz w:val="20"/>
              </w:rPr>
              <w:t>104</w:t>
            </w:r>
          </w:p>
        </w:tc>
        <w:tc>
          <w:tcPr>
            <w:tcW w:type="dxa" w:w="1384"/>
          </w:tcPr>
          <w:p>
            <w:r/>
            <w:r>
              <w:rPr>
                <w:rFonts w:ascii="Georgia" w:hAnsi="Georgia" w:eastAsia="Georgia"/>
                <w:b w:val="0"/>
                <w:i w:val="0"/>
                <w:sz w:val="20"/>
              </w:rPr>
              <w:t>38</w:t>
            </w:r>
          </w:p>
        </w:tc>
        <w:tc>
          <w:tcPr>
            <w:tcW w:type="dxa" w:w="1384"/>
          </w:tcPr>
          <w:p>
            <w:r/>
            <w:r>
              <w:rPr>
                <w:rFonts w:ascii="Georgia" w:hAnsi="Georgia" w:eastAsia="Georgia"/>
                <w:b w:val="0"/>
                <w:i w:val="0"/>
                <w:sz w:val="20"/>
              </w:rPr>
              <w:t>94</w:t>
            </w:r>
          </w:p>
        </w:tc>
        <w:tc>
          <w:tcPr>
            <w:tcW w:type="dxa" w:w="1384"/>
          </w:tcPr>
          <w:p>
            <w:r/>
            <w:r>
              <w:rPr>
                <w:rFonts w:ascii="Georgia" w:hAnsi="Georgia" w:eastAsia="Georgia"/>
                <w:b w:val="0"/>
                <w:i w:val="0"/>
                <w:sz w:val="20"/>
              </w:rPr>
              <w:t>381</w:t>
            </w:r>
          </w:p>
        </w:tc>
      </w:tr>
      <w:tr>
        <w:tc>
          <w:tcPr>
            <w:tcW w:type="dxa" w:w="1384"/>
          </w:tcPr>
          <w:p>
            <w:r/>
            <w:r>
              <w:rPr>
                <w:rFonts w:ascii="Georgia" w:hAnsi="Georgia" w:eastAsia="Georgia"/>
                <w:b w:val="0"/>
                <w:i w:val="0"/>
                <w:sz w:val="20"/>
              </w:rPr>
              <w:t>Pre-2023 (excluded pool)</w:t>
            </w:r>
          </w:p>
        </w:tc>
        <w:tc>
          <w:tcPr>
            <w:tcW w:type="dxa" w:w="1384"/>
          </w:tcPr>
          <w:p>
            <w:r/>
            <w:r>
              <w:rPr>
                <w:rFonts w:ascii="Georgia" w:hAnsi="Georgia" w:eastAsia="Georgia"/>
                <w:b w:val="0"/>
                <w:i w:val="0"/>
                <w:sz w:val="20"/>
              </w:rPr>
              <w:t>130</w:t>
            </w:r>
          </w:p>
        </w:tc>
        <w:tc>
          <w:tcPr>
            <w:tcW w:type="dxa" w:w="1384"/>
          </w:tcPr>
          <w:p>
            <w:r/>
            <w:r>
              <w:rPr>
                <w:rFonts w:ascii="Georgia" w:hAnsi="Georgia" w:eastAsia="Georgia"/>
                <w:b w:val="0"/>
                <w:i w:val="0"/>
                <w:sz w:val="20"/>
              </w:rPr>
              <w:t>102</w:t>
            </w:r>
          </w:p>
        </w:tc>
        <w:tc>
          <w:tcPr>
            <w:tcW w:type="dxa" w:w="1384"/>
          </w:tcPr>
          <w:p>
            <w:r/>
            <w:r>
              <w:rPr>
                <w:rFonts w:ascii="Georgia" w:hAnsi="Georgia" w:eastAsia="Georgia"/>
                <w:b w:val="0"/>
                <w:i w:val="0"/>
                <w:sz w:val="20"/>
              </w:rPr>
              <w:t>93</w:t>
            </w:r>
          </w:p>
        </w:tc>
        <w:tc>
          <w:tcPr>
            <w:tcW w:type="dxa" w:w="1384"/>
          </w:tcPr>
          <w:p>
            <w:r/>
            <w:r>
              <w:rPr>
                <w:rFonts w:ascii="Georgia" w:hAnsi="Georgia" w:eastAsia="Georgia"/>
                <w:b w:val="0"/>
                <w:i w:val="0"/>
                <w:sz w:val="20"/>
              </w:rPr>
              <w:t>122</w:t>
            </w:r>
          </w:p>
        </w:tc>
        <w:tc>
          <w:tcPr>
            <w:tcW w:type="dxa" w:w="1384"/>
          </w:tcPr>
          <w:p>
            <w:r/>
            <w:r>
              <w:rPr>
                <w:rFonts w:ascii="Georgia" w:hAnsi="Georgia" w:eastAsia="Georgia"/>
                <w:b w:val="0"/>
                <w:i w:val="0"/>
                <w:sz w:val="20"/>
              </w:rPr>
              <w:t>447</w:t>
            </w:r>
          </w:p>
        </w:tc>
      </w:tr>
      <w:tr>
        <w:tc>
          <w:tcPr>
            <w:tcW w:type="dxa" w:w="1384"/>
          </w:tcPr>
          <w:p>
            <w:r/>
            <w:r>
              <w:rPr>
                <w:rFonts w:ascii="Georgia" w:hAnsi="Georgia" w:eastAsia="Georgia"/>
                <w:b w:val="0"/>
                <w:i w:val="0"/>
                <w:sz w:val="20"/>
              </w:rPr>
              <w:t>Pilot sample (pre-2023)</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1</w:t>
            </w:r>
          </w:p>
        </w:tc>
        <w:tc>
          <w:tcPr>
            <w:tcW w:type="dxa" w:w="1384"/>
          </w:tcPr>
          <w:p>
            <w:r/>
            <w:r>
              <w:rPr>
                <w:rFonts w:ascii="Georgia" w:hAnsi="Georgia" w:eastAsia="Georgia"/>
                <w:b w:val="0"/>
                <w:i w:val="0"/>
                <w:sz w:val="20"/>
              </w:rPr>
              <w:t>4</w:t>
            </w:r>
          </w:p>
        </w:tc>
      </w:tr>
      <w:tr>
        <w:tc>
          <w:tcPr>
            <w:tcW w:type="dxa" w:w="1384"/>
          </w:tcPr>
          <w:p>
            <w:r/>
            <w:r>
              <w:rPr>
                <w:rFonts w:ascii="Georgia" w:hAnsi="Georgia" w:eastAsia="Georgia"/>
                <w:b w:val="0"/>
                <w:i w:val="0"/>
                <w:sz w:val="20"/>
              </w:rPr>
              <w:t>Main sample</w:t>
            </w:r>
          </w:p>
        </w:tc>
        <w:tc>
          <w:tcPr>
            <w:tcW w:type="dxa" w:w="1384"/>
          </w:tcPr>
          <w:p>
            <w:r/>
            <w:r>
              <w:rPr>
                <w:rFonts w:ascii="Georgia" w:hAnsi="Georgia" w:eastAsia="Georgia"/>
                <w:b w:val="0"/>
                <w:i w:val="0"/>
                <w:sz w:val="20"/>
              </w:rPr>
              <w:t>20</w:t>
            </w:r>
          </w:p>
        </w:tc>
        <w:tc>
          <w:tcPr>
            <w:tcW w:type="dxa" w:w="1384"/>
          </w:tcPr>
          <w:p>
            <w:r/>
            <w:r>
              <w:rPr>
                <w:rFonts w:ascii="Georgia" w:hAnsi="Georgia" w:eastAsia="Georgia"/>
                <w:b w:val="0"/>
                <w:i w:val="0"/>
                <w:sz w:val="20"/>
              </w:rPr>
              <w:t>20</w:t>
            </w:r>
          </w:p>
        </w:tc>
        <w:tc>
          <w:tcPr>
            <w:tcW w:type="dxa" w:w="1384"/>
          </w:tcPr>
          <w:p>
            <w:r/>
            <w:r>
              <w:rPr>
                <w:rFonts w:ascii="Georgia" w:hAnsi="Georgia" w:eastAsia="Georgia"/>
                <w:b w:val="0"/>
                <w:i w:val="0"/>
                <w:sz w:val="20"/>
              </w:rPr>
              <w:t>10</w:t>
            </w:r>
          </w:p>
        </w:tc>
        <w:tc>
          <w:tcPr>
            <w:tcW w:type="dxa" w:w="1384"/>
          </w:tcPr>
          <w:p>
            <w:r/>
            <w:r>
              <w:rPr>
                <w:rFonts w:ascii="Georgia" w:hAnsi="Georgia" w:eastAsia="Georgia"/>
                <w:b w:val="0"/>
                <w:i w:val="0"/>
                <w:sz w:val="20"/>
              </w:rPr>
              <w:t>10</w:t>
            </w:r>
          </w:p>
        </w:tc>
        <w:tc>
          <w:tcPr>
            <w:tcW w:type="dxa" w:w="1384"/>
          </w:tcPr>
          <w:p>
            <w:r/>
            <w:r>
              <w:rPr>
                <w:rFonts w:ascii="Georgia" w:hAnsi="Georgia" w:eastAsia="Georgia"/>
                <w:b w:val="0"/>
                <w:i w:val="0"/>
                <w:sz w:val="20"/>
              </w:rPr>
              <w:t>60</w:t>
            </w:r>
          </w:p>
        </w:tc>
      </w:tr>
    </w:tbl>
    <w:p>
      <w:pPr>
        <w:spacing w:line="480" w:lineRule="auto" w:before="0" w:after="0"/>
        <w:ind w:firstLine="720"/>
        <w:jc w:val="both"/>
      </w:pPr>
      <w:r>
        <w:rPr>
          <w:rFonts w:ascii="Georgia" w:hAnsi="Georgia" w:eastAsia="Georgia"/>
          <w:b w:val="0"/>
          <w:i w:val="0"/>
          <w:sz w:val="22"/>
        </w:rPr>
        <w:t>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p>
    <w:p>
      <w:pPr>
        <w:spacing w:line="480" w:lineRule="auto" w:before="0" w:after="0"/>
        <w:ind w:firstLine="720"/>
        <w:jc w:val="both"/>
      </w:pPr>
      <w:r>
        <w:rPr>
          <w:rFonts w:ascii="Georgia" w:hAnsi="Georgia" w:eastAsia="Georgia"/>
          <w:b/>
          <w:i w:val="0"/>
          <w:sz w:val="22"/>
        </w:rPr>
        <w:t xml:space="preserve">Inclusion Criteria. </w:t>
      </w:r>
      <w:r>
        <w:rPr>
          <w:rFonts w:ascii="Georgia" w:hAnsi="Georgia" w:eastAsia="Georgia"/>
          <w:b w:val="0"/>
          <w:i w:val="0"/>
          <w:sz w:val="22"/>
        </w:rPr>
        <w:t>English-language undergraduate thesis abstracts; complete abstracts available in the PSAU library archives; clear disciplinary classification based on official degree program; thesis completion between 2023 and 2025.</w:t>
      </w:r>
    </w:p>
    <w:p>
      <w:pPr>
        <w:spacing w:line="480" w:lineRule="auto" w:before="0" w:after="0"/>
        <w:ind w:firstLine="720"/>
        <w:jc w:val="both"/>
      </w:pPr>
      <w:r>
        <w:rPr>
          <w:rFonts w:ascii="Georgia" w:hAnsi="Georgia" w:eastAsia="Georgia"/>
          <w:b/>
          <w:i w:val="0"/>
          <w:sz w:val="22"/>
        </w:rPr>
        <w:t xml:space="preserve">Exclusion Criteria. </w:t>
      </w:r>
      <w:r>
        <w:rPr>
          <w:rFonts w:ascii="Georgia" w:hAnsi="Georgia" w:eastAsia="Georgia"/>
          <w:b w:val="0"/>
          <w:i w:val="0"/>
          <w:sz w:val="22"/>
        </w:rPr>
        <w:t>Non-English abstracts or abstracts with significant Filipino code-switching; graduate-level theses; theses submitted under interdisciplinary degree programs (e.g., Environmental Science) where a single disciplinary affiliation cannot be determined; theses completed before 2023.</w:t>
      </w:r>
    </w:p>
    <w:p>
      <w:pPr>
        <w:spacing w:line="480" w:lineRule="auto" w:before="0" w:after="0"/>
        <w:ind w:firstLine="720"/>
        <w:jc w:val="both"/>
      </w:pPr>
      <w:r>
        <w:rPr>
          <w:rFonts w:ascii="Georgia" w:hAnsi="Georgia" w:eastAsia="Georgia"/>
          <w:b/>
          <w:i w:val="0"/>
          <w:sz w:val="22"/>
        </w:rPr>
        <w:t xml:space="preserve">Ethical Considerations. </w:t>
      </w:r>
      <w:r>
        <w:rPr>
          <w:rFonts w:ascii="Georgia" w:hAnsi="Georgia" w:eastAsia="Georgia"/>
          <w:b w:val="0"/>
          <w:i w:val="0"/>
          <w:sz w:val="22"/>
        </w:rPr>
        <w:t>Abstracts were accessed on-site at the PSAU Library with proper authorization. Student names and thesis titles were fully anonymized using discipline codes (Acs1–A10, Aas1–A10, VM1–VM20, B1–B20) before analysis began.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pPr>
        <w:sectPr>
          <w:headerReference w:type="default" r:id="rId12"/>
          <w:headerReference w:type="first" r:id="rId13"/>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RESULTS, ANALYSIS, AND DISCUSSION</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what the frequency and functional patterns suggest about the discipline-specific hedging profile of developing researchers.</w:t>
      </w:r>
    </w:p>
    <w:p>
      <w:pPr>
        <w:keepNext/>
        <w:keepLines/>
        <w:spacing w:before="240" w:after="240" w:line="480" w:lineRule="auto"/>
        <w:jc w:val="left"/>
      </w:pPr>
      <w:r>
        <w:rPr>
          <w:rFonts w:ascii="Georgia" w:hAnsi="Georgia" w:eastAsia="Georgia"/>
          <w:b/>
          <w:i w:val="0"/>
          <w:sz w:val="24"/>
        </w:rPr>
        <w:t>PART I: HEDGE TYPES ACROSS THE THREE DISCIPLINES</w:t>
      </w:r>
    </w:p>
    <w:p>
      <w:pPr>
        <w:spacing w:line="480" w:lineRule="auto" w:before="0" w:after="0"/>
        <w:ind w:firstLine="720"/>
        <w:jc w:val="both"/>
      </w:pPr>
      <w:r>
        <w:rPr>
          <w:rFonts w:ascii="Georgia" w:hAnsi="Georgia" w:eastAsia="Georgia"/>
          <w:b w:val="0"/>
          <w:i w:val="0"/>
          <w:sz w:val="22"/>
        </w:rPr>
        <w:t>The coding identified 60 hedge tokens across the 60-abstract corpus. These tokens were classified into four types following Hyland’s (1998) taxonomy: modal verbs, lexical hedges, adverbial hedges, and clause-level hedges. Table 2 presents the distribution of hedge types across the full corpus.</w:t>
      </w:r>
    </w:p>
    <w:p>
      <w:pPr>
        <w:spacing w:before="240" w:after="0"/>
      </w:pPr>
      <w:r>
        <w:rPr>
          <w:rFonts w:ascii="Georgia" w:hAnsi="Georgia" w:eastAsia="Georgia"/>
          <w:b/>
          <w:i w:val="0"/>
          <w:sz w:val="22"/>
        </w:rPr>
        <w:t>Table 2</w:t>
      </w:r>
    </w:p>
    <w:p>
      <w:pPr>
        <w:spacing w:after="120"/>
      </w:pPr>
      <w:r>
        <w:rPr>
          <w:rFonts w:ascii="Georgia" w:hAnsi="Georgia" w:eastAsia="Georgia"/>
          <w:b w:val="0"/>
          <w:i/>
          <w:sz w:val="22"/>
        </w:rPr>
        <w:t>Hedge Type Distribution Across the Corpus</w:t>
      </w:r>
    </w:p>
    <w:tbl>
      <w:tblPr>
        <w:tblStyle w:val="TableGrid"/>
        <w:tblW w:type="auto" w:w="0"/>
        <w:tblLayout w:type="autofit"/>
        <w:tblLook w:firstColumn="1" w:firstRow="1" w:lastColumn="0" w:lastRow="0" w:noHBand="0" w:noVBand="1" w:val="04A0"/>
      </w:tblPr>
      <w:tblGrid>
        <w:gridCol w:w="2769"/>
        <w:gridCol w:w="2769"/>
        <w:gridCol w:w="2769"/>
      </w:tblGrid>
      <w:tr>
        <w:tc>
          <w:tcPr>
            <w:tcW w:type="dxa" w:w="2769"/>
          </w:tcPr>
          <w:p>
            <w:r/>
            <w:r>
              <w:rPr>
                <w:rFonts w:ascii="Georgia" w:hAnsi="Georgia" w:eastAsia="Georgia"/>
                <w:b/>
                <w:i w:val="0"/>
                <w:sz w:val="20"/>
              </w:rPr>
              <w:t>Hedge Type</w:t>
            </w:r>
          </w:p>
        </w:tc>
        <w:tc>
          <w:tcPr>
            <w:tcW w:type="dxa" w:w="2769"/>
          </w:tcPr>
          <w:p>
            <w:r/>
            <w:r>
              <w:rPr>
                <w:rFonts w:ascii="Georgia" w:hAnsi="Georgia" w:eastAsia="Georgia"/>
                <w:b/>
                <w:i w:val="0"/>
                <w:sz w:val="20"/>
              </w:rPr>
              <w:t>Count</w:t>
            </w:r>
          </w:p>
        </w:tc>
        <w:tc>
          <w:tcPr>
            <w:tcW w:type="dxa" w:w="2769"/>
          </w:tcPr>
          <w:p>
            <w:r/>
            <w:r>
              <w:rPr>
                <w:rFonts w:ascii="Georgia" w:hAnsi="Georgia" w:eastAsia="Georgia"/>
                <w:b/>
                <w:i w:val="0"/>
                <w:sz w:val="20"/>
              </w:rPr>
              <w:t>Percentage</w:t>
            </w:r>
          </w:p>
        </w:tc>
      </w:tr>
      <w:tr>
        <w:tc>
          <w:tcPr>
            <w:tcW w:type="dxa" w:w="2769"/>
          </w:tcPr>
          <w:p>
            <w:r/>
            <w:r>
              <w:rPr>
                <w:rFonts w:ascii="Georgia" w:hAnsi="Georgia" w:eastAsia="Georgia"/>
                <w:b w:val="0"/>
                <w:i w:val="0"/>
                <w:sz w:val="20"/>
              </w:rPr>
              <w:t>Modal Verbs</w:t>
            </w:r>
          </w:p>
        </w:tc>
        <w:tc>
          <w:tcPr>
            <w:tcW w:type="dxa" w:w="2769"/>
          </w:tcPr>
          <w:p>
            <w:r/>
            <w:r>
              <w:rPr>
                <w:rFonts w:ascii="Georgia" w:hAnsi="Georgia" w:eastAsia="Georgia"/>
                <w:b w:val="0"/>
                <w:i w:val="0"/>
                <w:sz w:val="20"/>
              </w:rPr>
              <w:t>21</w:t>
            </w:r>
          </w:p>
        </w:tc>
        <w:tc>
          <w:tcPr>
            <w:tcW w:type="dxa" w:w="2769"/>
          </w:tcPr>
          <w:p>
            <w:r/>
            <w:r>
              <w:rPr>
                <w:rFonts w:ascii="Georgia" w:hAnsi="Georgia" w:eastAsia="Georgia"/>
                <w:b w:val="0"/>
                <w:i w:val="0"/>
                <w:sz w:val="20"/>
              </w:rPr>
              <w:t>35.0%</w:t>
            </w:r>
          </w:p>
        </w:tc>
      </w:tr>
      <w:tr>
        <w:tc>
          <w:tcPr>
            <w:tcW w:type="dxa" w:w="2769"/>
          </w:tcPr>
          <w:p>
            <w:r/>
            <w:r>
              <w:rPr>
                <w:rFonts w:ascii="Georgia" w:hAnsi="Georgia" w:eastAsia="Georgia"/>
                <w:b w:val="0"/>
                <w:i w:val="0"/>
                <w:sz w:val="20"/>
              </w:rPr>
              <w:t>Lexical Hedges</w:t>
            </w:r>
          </w:p>
        </w:tc>
        <w:tc>
          <w:tcPr>
            <w:tcW w:type="dxa" w:w="2769"/>
          </w:tcPr>
          <w:p>
            <w:r/>
            <w:r>
              <w:rPr>
                <w:rFonts w:ascii="Georgia" w:hAnsi="Georgia" w:eastAsia="Georgia"/>
                <w:b w:val="0"/>
                <w:i w:val="0"/>
                <w:sz w:val="20"/>
              </w:rPr>
              <w:t>36</w:t>
            </w:r>
          </w:p>
        </w:tc>
        <w:tc>
          <w:tcPr>
            <w:tcW w:type="dxa" w:w="2769"/>
          </w:tcPr>
          <w:p>
            <w:r/>
            <w:r>
              <w:rPr>
                <w:rFonts w:ascii="Georgia" w:hAnsi="Georgia" w:eastAsia="Georgia"/>
                <w:b w:val="0"/>
                <w:i w:val="0"/>
                <w:sz w:val="20"/>
              </w:rPr>
              <w:t>60.0%</w:t>
            </w:r>
          </w:p>
        </w:tc>
      </w:tr>
      <w:tr>
        <w:tc>
          <w:tcPr>
            <w:tcW w:type="dxa" w:w="2769"/>
          </w:tcPr>
          <w:p>
            <w:r/>
            <w:r>
              <w:rPr>
                <w:rFonts w:ascii="Georgia" w:hAnsi="Georgia" w:eastAsia="Georgia"/>
                <w:b w:val="0"/>
                <w:i w:val="0"/>
                <w:sz w:val="20"/>
              </w:rPr>
              <w:t>Adverbial Hedges</w:t>
            </w:r>
          </w:p>
        </w:tc>
        <w:tc>
          <w:tcPr>
            <w:tcW w:type="dxa" w:w="2769"/>
          </w:tcPr>
          <w:p>
            <w:r/>
            <w:r>
              <w:rPr>
                <w:rFonts w:ascii="Georgia" w:hAnsi="Georgia" w:eastAsia="Georgia"/>
                <w:b w:val="0"/>
                <w:i w:val="0"/>
                <w:sz w:val="20"/>
              </w:rPr>
              <w:t>3</w:t>
            </w:r>
          </w:p>
        </w:tc>
        <w:tc>
          <w:tcPr>
            <w:tcW w:type="dxa" w:w="2769"/>
          </w:tcPr>
          <w:p>
            <w:r/>
            <w:r>
              <w:rPr>
                <w:rFonts w:ascii="Georgia" w:hAnsi="Georgia" w:eastAsia="Georgia"/>
                <w:b w:val="0"/>
                <w:i w:val="0"/>
                <w:sz w:val="20"/>
              </w:rPr>
              <w:t>5.0%</w:t>
            </w:r>
          </w:p>
        </w:tc>
      </w:tr>
      <w:tr>
        <w:tc>
          <w:tcPr>
            <w:tcW w:type="dxa" w:w="2769"/>
          </w:tcPr>
          <w:p>
            <w:r/>
            <w:r>
              <w:rPr>
                <w:rFonts w:ascii="Georgia" w:hAnsi="Georgia" w:eastAsia="Georgia"/>
                <w:b w:val="0"/>
                <w:i w:val="0"/>
                <w:sz w:val="20"/>
              </w:rPr>
              <w:t>Clause-Level Hedges</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Total</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Table 2 presents the overall distribution of hedge types. Lexical hedges dominated the corpus with 36 instances (60.0%), followed by modal verbs with 21 instances (35.0%), and adverbial hedges with 3 instances (5.0%).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p>
    <w:p>
      <w:pPr>
        <w:spacing w:line="480" w:lineRule="auto" w:before="0" w:after="0"/>
        <w:ind w:firstLine="720"/>
        <w:jc w:val="both"/>
      </w:pPr>
      <w:r>
        <w:rPr>
          <w:rFonts w:ascii="Georgia" w:hAnsi="Georgia" w:eastAsia="Georgia"/>
          <w:b w:val="0"/>
          <w:i w:val="0"/>
          <w:sz w:val="22"/>
        </w:rPr>
        <w:t>A closer examination of the lexical hedge category reveals that the token “potential” accounted for 14 of the 36 lexical instances (38.9%), making it the single most frequent hedge token in the corpus. Other frequent lexical hedges included “suggests” (7 instances), “indicating” (6 instances), and “suggesting” (3 instances). The modal verb category was led by “can” (9 instances, primarily in inferential constructions such as “can be stated” and “can be derived”), followed by “could” (7) and “may” (6). The dominance of “potential” as a lexical hedge is noteworthy because it reflects a specific rhetorical move: qualifying implications rather than directly hedging results. Writers used “potential” to frame their findings as having possible applications, as in “the potential of B. subtilis as a sustainable solution.” This is a softer claim than “B. subtilis is a sustainable solution,” but it stops short of the more direct tentativeness that “may” or “might” would provide. The high frequency of “potential” may also suggest that it functions as a learned formula rather than an epistemically motivated choice, since it appears in nearly identical syntactic positions across multiple abstracts and disciplines. The concordance analysis of all 14 “potential” hedge instances reveals a recurring phraseological pattern: “the potential of X as a Y” (e.g., “the potential of B. subtilis as a sustainable solution”), “has potential as an X” (e.g., “has potential as an alternative feed ration”), and “highlight their potential as X” (e.g., “highlight their potential as effective, low-cost biofertilizers”). This recurring n-gram frame supports the interpretation that “potential” functions partly as a learned formula rather than a fully epistemic choice, as it appears in nearly identical syntactic positions across multiple abstracts and disciplines. Agriculture and Biology account for 11 of the 14 “potential” instances, while Veterinary Medicine accounts for only 3, reflecting the practical-orientation difference between these fields.</w:t>
      </w:r>
    </w:p>
    <w:p>
      <w:pPr>
        <w:spacing w:line="480" w:lineRule="auto" w:before="0" w:after="0"/>
        <w:ind w:firstLine="720"/>
        <w:jc w:val="both"/>
      </w:pPr>
      <w:r>
        <w:rPr>
          <w:rFonts w:ascii="Georgia" w:hAnsi="Georgia" w:eastAsia="Georgia"/>
          <w:b w:val="0"/>
          <w:i w:val="0"/>
          <w:sz w:val="22"/>
        </w:rPr>
        <w:t>The distribution of hedge types also varies meaningfully across disciplines. Table 3 presents the per-discipline breakdown of hedge types.</w:t>
      </w:r>
    </w:p>
    <w:p>
      <w:pPr>
        <w:spacing w:before="240" w:after="0"/>
      </w:pPr>
      <w:r>
        <w:rPr>
          <w:rFonts w:ascii="Georgia" w:hAnsi="Georgia" w:eastAsia="Georgia"/>
          <w:b/>
          <w:i w:val="0"/>
          <w:sz w:val="22"/>
        </w:rPr>
        <w:t>Table 3</w:t>
      </w:r>
    </w:p>
    <w:p>
      <w:pPr>
        <w:spacing w:after="120"/>
      </w:pPr>
      <w:r>
        <w:rPr>
          <w:rFonts w:ascii="Georgia" w:hAnsi="Georgia" w:eastAsia="Georgia"/>
          <w:b w:val="0"/>
          <w:i/>
          <w:sz w:val="22"/>
        </w:rPr>
        <w:t>Hedge Type Distribution by Discipline</w:t>
      </w:r>
    </w:p>
    <w:tbl>
      <w:tblPr>
        <w:tblStyle w:val="TableGrid"/>
        <w:tblW w:type="auto" w:w="0"/>
        <w:tblLayout w:type="autofit"/>
        <w:tblLook w:firstColumn="1" w:firstRow="1" w:lastColumn="0" w:lastRow="0" w:noHBand="0" w:noVBand="1" w:val="04A0"/>
      </w:tblPr>
      <w:tblGrid>
        <w:gridCol w:w="1384"/>
        <w:gridCol w:w="1384"/>
        <w:gridCol w:w="1384"/>
        <w:gridCol w:w="1384"/>
        <w:gridCol w:w="1384"/>
        <w:gridCol w:w="1384"/>
      </w:tblGrid>
      <w:tr>
        <w:tc>
          <w:tcPr>
            <w:tcW w:type="dxa" w:w="1384"/>
          </w:tcPr>
          <w:p>
            <w:r/>
            <w:r>
              <w:rPr>
                <w:rFonts w:ascii="Georgia" w:hAnsi="Georgia" w:eastAsia="Georgia"/>
                <w:b/>
                <w:i w:val="0"/>
                <w:sz w:val="20"/>
              </w:rPr>
              <w:t>Discipline</w:t>
            </w:r>
          </w:p>
        </w:tc>
        <w:tc>
          <w:tcPr>
            <w:tcW w:type="dxa" w:w="1384"/>
          </w:tcPr>
          <w:p>
            <w:r/>
            <w:r>
              <w:rPr>
                <w:rFonts w:ascii="Georgia" w:hAnsi="Georgia" w:eastAsia="Georgia"/>
                <w:b/>
                <w:i w:val="0"/>
                <w:sz w:val="20"/>
              </w:rPr>
              <w:t>Modal Verbs</w:t>
            </w:r>
          </w:p>
        </w:tc>
        <w:tc>
          <w:tcPr>
            <w:tcW w:type="dxa" w:w="1384"/>
          </w:tcPr>
          <w:p>
            <w:r/>
            <w:r>
              <w:rPr>
                <w:rFonts w:ascii="Georgia" w:hAnsi="Georgia" w:eastAsia="Georgia"/>
                <w:b/>
                <w:i w:val="0"/>
                <w:sz w:val="20"/>
              </w:rPr>
              <w:t>Lexical Hedges</w:t>
            </w:r>
          </w:p>
        </w:tc>
        <w:tc>
          <w:tcPr>
            <w:tcW w:type="dxa" w:w="1384"/>
          </w:tcPr>
          <w:p>
            <w:r/>
            <w:r>
              <w:rPr>
                <w:rFonts w:ascii="Georgia" w:hAnsi="Georgia" w:eastAsia="Georgia"/>
                <w:b/>
                <w:i w:val="0"/>
                <w:sz w:val="20"/>
              </w:rPr>
              <w:t>Adverbial</w:t>
            </w:r>
          </w:p>
        </w:tc>
        <w:tc>
          <w:tcPr>
            <w:tcW w:type="dxa" w:w="1384"/>
          </w:tcPr>
          <w:p>
            <w:r/>
            <w:r>
              <w:rPr>
                <w:rFonts w:ascii="Georgia" w:hAnsi="Georgia" w:eastAsia="Georgia"/>
                <w:b/>
                <w:i w:val="0"/>
                <w:sz w:val="20"/>
              </w:rPr>
              <w:t>Clause-Level</w:t>
            </w:r>
          </w:p>
        </w:tc>
        <w:tc>
          <w:tcPr>
            <w:tcW w:type="dxa" w:w="1384"/>
          </w:tcPr>
          <w:p>
            <w:r/>
            <w:r>
              <w:rPr>
                <w:rFonts w:ascii="Georgia" w:hAnsi="Georgia" w:eastAsia="Georgia"/>
                <w:b/>
                <w:i w:val="0"/>
                <w:sz w:val="20"/>
              </w:rPr>
              <w:t>Total</w:t>
            </w:r>
          </w:p>
        </w:tc>
      </w:tr>
      <w:tr>
        <w:tc>
          <w:tcPr>
            <w:tcW w:type="dxa" w:w="1384"/>
          </w:tcPr>
          <w:p>
            <w:r/>
            <w:r>
              <w:rPr>
                <w:rFonts w:ascii="Georgia" w:hAnsi="Georgia" w:eastAsia="Georgia"/>
                <w:b w:val="0"/>
                <w:i w:val="0"/>
                <w:sz w:val="20"/>
              </w:rPr>
              <w:t>Agriculture</w:t>
            </w:r>
          </w:p>
        </w:tc>
        <w:tc>
          <w:tcPr>
            <w:tcW w:type="dxa" w:w="1384"/>
          </w:tcPr>
          <w:p>
            <w:r/>
            <w:r>
              <w:rPr>
                <w:rFonts w:ascii="Georgia" w:hAnsi="Georgia" w:eastAsia="Georgia"/>
                <w:b w:val="0"/>
                <w:i w:val="0"/>
                <w:sz w:val="20"/>
              </w:rPr>
              <w:t>14 (53.8%)</w:t>
            </w:r>
          </w:p>
        </w:tc>
        <w:tc>
          <w:tcPr>
            <w:tcW w:type="dxa" w:w="1384"/>
          </w:tcPr>
          <w:p>
            <w:r/>
            <w:r>
              <w:rPr>
                <w:rFonts w:ascii="Georgia" w:hAnsi="Georgia" w:eastAsia="Georgia"/>
                <w:b w:val="0"/>
                <w:i w:val="0"/>
                <w:sz w:val="20"/>
              </w:rPr>
              <w:t>12 (46.2%)</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26</w:t>
            </w:r>
          </w:p>
        </w:tc>
      </w:tr>
      <w:tr>
        <w:tc>
          <w:tcPr>
            <w:tcW w:type="dxa" w:w="1384"/>
          </w:tcPr>
          <w:p>
            <w:r/>
            <w:r>
              <w:rPr>
                <w:rFonts w:ascii="Georgia" w:hAnsi="Georgia" w:eastAsia="Georgia"/>
                <w:b w:val="0"/>
                <w:i w:val="0"/>
                <w:sz w:val="20"/>
              </w:rPr>
              <w:t>Biology</w:t>
            </w:r>
          </w:p>
        </w:tc>
        <w:tc>
          <w:tcPr>
            <w:tcW w:type="dxa" w:w="1384"/>
          </w:tcPr>
          <w:p>
            <w:r/>
            <w:r>
              <w:rPr>
                <w:rFonts w:ascii="Georgia" w:hAnsi="Georgia" w:eastAsia="Georgia"/>
                <w:b w:val="0"/>
                <w:i w:val="0"/>
                <w:sz w:val="20"/>
              </w:rPr>
              <w:t>5 (20.0%)</w:t>
            </w:r>
          </w:p>
        </w:tc>
        <w:tc>
          <w:tcPr>
            <w:tcW w:type="dxa" w:w="1384"/>
          </w:tcPr>
          <w:p>
            <w:r/>
            <w:r>
              <w:rPr>
                <w:rFonts w:ascii="Georgia" w:hAnsi="Georgia" w:eastAsia="Georgia"/>
                <w:b w:val="0"/>
                <w:i w:val="0"/>
                <w:sz w:val="20"/>
              </w:rPr>
              <w:t>17 (68.0%)</w:t>
            </w:r>
          </w:p>
        </w:tc>
        <w:tc>
          <w:tcPr>
            <w:tcW w:type="dxa" w:w="1384"/>
          </w:tcPr>
          <w:p>
            <w:r/>
            <w:r>
              <w:rPr>
                <w:rFonts w:ascii="Georgia" w:hAnsi="Georgia" w:eastAsia="Georgia"/>
                <w:b w:val="0"/>
                <w:i w:val="0"/>
                <w:sz w:val="20"/>
              </w:rPr>
              <w:t>3 (12.0%)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25</w:t>
            </w:r>
          </w:p>
        </w:tc>
      </w:tr>
      <w:tr>
        <w:tc>
          <w:tcPr>
            <w:tcW w:type="dxa" w:w="1384"/>
          </w:tcPr>
          <w:p>
            <w:r/>
            <w:r>
              <w:rPr>
                <w:rFonts w:ascii="Georgia" w:hAnsi="Georgia" w:eastAsia="Georgia"/>
                <w:b w:val="0"/>
                <w:i w:val="0"/>
                <w:sz w:val="20"/>
              </w:rPr>
              <w:t>Veterinary Medicine</w:t>
            </w:r>
          </w:p>
        </w:tc>
        <w:tc>
          <w:tcPr>
            <w:tcW w:type="dxa" w:w="1384"/>
          </w:tcPr>
          <w:p>
            <w:r/>
            <w:r>
              <w:rPr>
                <w:rFonts w:ascii="Georgia" w:hAnsi="Georgia" w:eastAsia="Georgia"/>
                <w:b w:val="0"/>
                <w:i w:val="0"/>
                <w:sz w:val="20"/>
              </w:rPr>
              <w:t>2 (22.2%)</w:t>
            </w:r>
          </w:p>
        </w:tc>
        <w:tc>
          <w:tcPr>
            <w:tcW w:type="dxa" w:w="1384"/>
          </w:tcPr>
          <w:p>
            <w:r/>
            <w:r>
              <w:rPr>
                <w:rFonts w:ascii="Georgia" w:hAnsi="Georgia" w:eastAsia="Georgia"/>
                <w:b w:val="0"/>
                <w:i w:val="0"/>
                <w:sz w:val="20"/>
              </w:rPr>
              <w:t>7 (77.8%)</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9</w:t>
            </w:r>
          </w:p>
        </w:tc>
      </w:tr>
      <w:tr>
        <w:tc>
          <w:tcPr>
            <w:tcW w:type="dxa" w:w="1384"/>
          </w:tcPr>
          <w:p>
            <w:r/>
            <w:r>
              <w:rPr>
                <w:rFonts w:ascii="Georgia" w:hAnsi="Georgia" w:eastAsia="Georgia"/>
                <w:b w:val="0"/>
                <w:i w:val="0"/>
                <w:sz w:val="20"/>
              </w:rPr>
              <w:t>Total</w:t>
            </w:r>
          </w:p>
        </w:tc>
        <w:tc>
          <w:tcPr>
            <w:tcW w:type="dxa" w:w="1384"/>
          </w:tcPr>
          <w:p>
            <w:r/>
            <w:r>
              <w:rPr>
                <w:rFonts w:ascii="Georgia" w:hAnsi="Georgia" w:eastAsia="Georgia"/>
                <w:b w:val="0"/>
                <w:i w:val="0"/>
                <w:sz w:val="20"/>
              </w:rPr>
              <w:t>21 (35.0%)</w:t>
            </w:r>
          </w:p>
        </w:tc>
        <w:tc>
          <w:tcPr>
            <w:tcW w:type="dxa" w:w="1384"/>
          </w:tcPr>
          <w:p>
            <w:r/>
            <w:r>
              <w:rPr>
                <w:rFonts w:ascii="Georgia" w:hAnsi="Georgia" w:eastAsia="Georgia"/>
                <w:b w:val="0"/>
                <w:i w:val="0"/>
                <w:sz w:val="20"/>
              </w:rPr>
              <w:t>36 (60.0%)</w:t>
            </w:r>
          </w:p>
        </w:tc>
        <w:tc>
          <w:tcPr>
            <w:tcW w:type="dxa" w:w="1384"/>
          </w:tcPr>
          <w:p>
            <w:r/>
            <w:r>
              <w:rPr>
                <w:rFonts w:ascii="Georgia" w:hAnsi="Georgia" w:eastAsia="Georgia"/>
                <w:b w:val="0"/>
                <w:i w:val="0"/>
                <w:sz w:val="20"/>
              </w:rPr>
              <w:t>3 (5.0%)</w:t>
            </w:r>
          </w:p>
        </w:tc>
        <w:tc>
          <w:tcPr>
            <w:tcW w:type="dxa" w:w="1384"/>
          </w:tcPr>
          <w:p>
            <w:r/>
            <w:r>
              <w:rPr>
                <w:rFonts w:ascii="Georgia" w:hAnsi="Georgia" w:eastAsia="Georgia"/>
                <w:b w:val="0"/>
                <w:i w:val="0"/>
                <w:sz w:val="20"/>
              </w:rPr>
              <w:t>0</w:t>
            </w:r>
          </w:p>
        </w:tc>
        <w:tc>
          <w:tcPr>
            <w:tcW w:type="dxa" w:w="1384"/>
          </w:tcPr>
          <w:p>
            <w:r/>
            <w:r>
              <w:rPr>
                <w:rFonts w:ascii="Georgia" w:hAnsi="Georgia" w:eastAsia="Georgia"/>
                <w:b w:val="0"/>
                <w:i w:val="0"/>
                <w:sz w:val="20"/>
              </w:rPr>
              <w:t>60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Table 3 reveals that Agriculture has a nearly balanced distribution (14 modal verbs, 53.8% vs. 12 lexical hedges, 46.2%), while Biology is heavily lexical (17 of 25 hedges, 68.0%, with only 5 modal verbs). Veterinary Medicine, with only 9 total hedges, is also predominantly lexical (7 of 9, 77.8%). This pattern suggests that Agriculture is the only discipline where modal verbs are used with any frequency, possibly reflecting a rhetorical style where writers are more comfortable expressing possibility directly through modal constructions. Biology’s heavy reliance on lexical hedges, particularly “potential,” suggests a preference for qualifying implications at the word level rather than managing uncertainty through modal verbs. The near-absence of adverbial hedges across all disciplines (only 3 instances, all in Biology) further confirms the narrowness of the hedging repertoire in this corpus.</w:t>
      </w:r>
    </w:p>
    <w:p>
      <w:pPr>
        <w:spacing w:line="480" w:lineRule="auto" w:before="0" w:after="0"/>
        <w:ind w:firstLine="720"/>
        <w:jc w:val="both"/>
      </w:pPr>
      <w:r>
        <w:rPr>
          <w:rFonts w:ascii="Georgia" w:hAnsi="Georgia" w:eastAsia="Georgia"/>
          <w:b w:val="0"/>
          <w:i w:val="0"/>
          <w:sz w:val="22"/>
        </w:rPr>
        <w:t>The absence of clause-level hedges is consistent with findings that developing researchers rarely use complex syntactic structures for epistemic management (Hyland &amp; Milton, 1997). Clause-level hedges such as “it seems that” or “it is possible that” require a degree of syntactic sophistication and rhetorical awareness that these researchers may not yet have developed. Their absence in this corpus suggests that PSAU researchers rely on simpler, word-level devices rather than clause-level constructions to manage uncertainty.</w:t>
      </w:r>
    </w:p>
    <w:p>
      <w:pPr>
        <w:spacing w:line="480" w:lineRule="auto" w:before="0" w:after="0"/>
        <w:ind w:firstLine="720"/>
        <w:jc w:val="both"/>
      </w:pPr>
      <w:r>
        <w:rPr>
          <w:rFonts w:ascii="Georgia" w:hAnsi="Georgia" w:eastAsia="Georgia"/>
          <w:b w:val="0"/>
          <w:i w:val="0"/>
          <w:sz w:val="22"/>
        </w:rPr>
        <w:t>The corpus also yielded 63 false positive tokens, hedge-like words that were initially flagged but rejected after applying the codebook’s Working Test. The false positive breakdown shows FP-Gen (general exclusion, including topic-naming and evidential pointers) at 38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stricter rule for “potential + noun” constructions based on structural position rather than verb choice. This disambiguation rule is the most methodologically interesting feature of the coding scheme, as it demonstrates that surface-level keyword matching would have inflated the hedge count by treating topic-naming instances as epistemic hedges.</w:t>
      </w:r>
    </w:p>
    <w:p>
      <w:pPr>
        <w:spacing w:line="480" w:lineRule="auto" w:before="0" w:after="0"/>
        <w:ind w:firstLine="720"/>
        <w:jc w:val="both"/>
      </w:pPr>
      <w:r>
        <w:rPr>
          <w:rFonts w:ascii="Georgia" w:hAnsi="Georgia" w:eastAsia="Georgia"/>
          <w:b w:val="0"/>
          <w:i w:val="0"/>
          <w:sz w:val="22"/>
        </w:rPr>
        <w:t>Additionally, 37 unhedged assertion sites were identified in the 28 zero-hedge abstracts. Of these, 24 were classified as result claims [R], 9 as generalizations [G], and 4 as causal claims [C]. These sites represent clauses where a hedge could have been inserted without changing the underlying facts, but the writer chose to state the claim with bare certainty. The presence of these unhedged sites in abstracts that contain zero hedges indicates an absence of overt hedging rather than cautious reporting. Expert abstracts rarely contain zero hedges (Hyland, 1998), making the 46.7% zero-hedge rate in this corpus a sharp departure from expert norms.</w:t>
      </w:r>
    </w:p>
    <w:p>
      <w:pPr>
        <w:spacing w:line="480" w:lineRule="auto" w:before="0" w:after="0"/>
        <w:ind w:firstLine="720"/>
        <w:jc w:val="both"/>
      </w:pPr>
      <w:r>
        <w:rPr>
          <w:rFonts w:ascii="Georgia" w:hAnsi="Georgia" w:eastAsia="Georgia"/>
          <w:b w:val="0"/>
          <w:i w:val="0"/>
          <w:sz w:val="22"/>
        </w:rPr>
        <w:t>Booster analysis of the 28 zero-hedge abstracts revealed 88 booster tokens, averaging 3.4 boosters per abstract. The most frequent boosters were showed (18 instances), revealed (13), observed (12), and highest (12). This density of assertive markers confirms that zero-hedge abstracts do not represent neutral reporting but rather an absence of overt hedging, where findings are stated with emphatic rather than tentative language.</w:t>
      </w:r>
    </w:p>
    <w:p>
      <w:pPr>
        <w:keepNext/>
        <w:keepLines/>
        <w:spacing w:before="240" w:after="240" w:line="480" w:lineRule="auto"/>
        <w:jc w:val="left"/>
      </w:pPr>
      <w:r>
        <w:rPr>
          <w:rFonts w:ascii="Georgia" w:hAnsi="Georgia" w:eastAsia="Georgia"/>
          <w:b/>
          <w:i w:val="0"/>
          <w:sz w:val="24"/>
        </w:rPr>
        <w:t>PART II: HEDGE FREQUENCY ACROSS DISCIPLINES</w:t>
      </w:r>
    </w:p>
    <w:p>
      <w:pPr>
        <w:spacing w:line="480" w:lineRule="auto" w:before="0" w:after="0"/>
        <w:ind w:firstLine="720"/>
        <w:jc w:val="both"/>
      </w:pPr>
      <w:r>
        <w:rPr>
          <w:rFonts w:ascii="Georgia" w:hAnsi="Georgia" w:eastAsia="Georgia"/>
          <w:b w:val="0"/>
          <w:i w:val="0"/>
          <w:sz w:val="22"/>
        </w:rPr>
        <w:t>Cross-disciplinary comparison reveals substantial variation in hedge density. Table 4 presents the hedge counts, false positives, unhedged sites, and normalized frequency (hedges per 100 words) for each discipline.</w:t>
      </w:r>
    </w:p>
    <w:p>
      <w:pPr>
        <w:spacing w:before="240" w:after="0"/>
      </w:pPr>
      <w:r>
        <w:rPr>
          <w:rFonts w:ascii="Georgia" w:hAnsi="Georgia" w:eastAsia="Georgia"/>
          <w:b/>
          <w:i w:val="0"/>
          <w:sz w:val="22"/>
        </w:rPr>
        <w:t>Table 4</w:t>
      </w:r>
    </w:p>
    <w:p>
      <w:pPr>
        <w:spacing w:after="120"/>
      </w:pPr>
      <w:r>
        <w:rPr>
          <w:rFonts w:ascii="Georgia" w:hAnsi="Georgia" w:eastAsia="Georgia"/>
          <w:b w:val="0"/>
          <w:i/>
          <w:sz w:val="22"/>
        </w:rPr>
        <w:t>Hedge Frequency by Discipline</w:t>
      </w:r>
    </w:p>
    <w:tbl>
      <w:tblPr>
        <w:tblStyle w:val="TableGrid"/>
        <w:tblW w:type="auto" w:w="0"/>
        <w:tblLayout w:type="autofit"/>
        <w:tblLook w:firstColumn="1" w:firstRow="1" w:lastColumn="0" w:lastRow="0" w:noHBand="0" w:noVBand="1" w:val="04A0"/>
      </w:tblPr>
      <w:tblGrid>
        <w:gridCol w:w="1038"/>
        <w:gridCol w:w="1038"/>
        <w:gridCol w:w="1038"/>
        <w:gridCol w:w="1038"/>
        <w:gridCol w:w="1038"/>
        <w:gridCol w:w="1038"/>
        <w:gridCol w:w="1038"/>
        <w:gridCol w:w="1038"/>
      </w:tblGrid>
      <w:tr>
        <w:tc>
          <w:tcPr>
            <w:tcW w:type="dxa" w:w="1038"/>
          </w:tcPr>
          <w:p>
            <w:r/>
            <w:r>
              <w:rPr>
                <w:rFonts w:ascii="Georgia" w:hAnsi="Georgia" w:eastAsia="Georgia"/>
                <w:b/>
                <w:i w:val="0"/>
                <w:sz w:val="20"/>
              </w:rPr>
              <w:t>Discipline</w:t>
            </w:r>
          </w:p>
        </w:tc>
        <w:tc>
          <w:tcPr>
            <w:tcW w:type="dxa" w:w="1038"/>
          </w:tcPr>
          <w:p>
            <w:r/>
            <w:r>
              <w:rPr>
                <w:rFonts w:ascii="Georgia" w:hAnsi="Georgia" w:eastAsia="Georgia"/>
                <w:b/>
                <w:i w:val="0"/>
                <w:sz w:val="20"/>
              </w:rPr>
              <w:t>Abstracts</w:t>
            </w:r>
          </w:p>
        </w:tc>
        <w:tc>
          <w:tcPr>
            <w:tcW w:type="dxa" w:w="1038"/>
          </w:tcPr>
          <w:p>
            <w:r/>
            <w:r>
              <w:rPr>
                <w:rFonts w:ascii="Georgia" w:hAnsi="Georgia" w:eastAsia="Georgia"/>
                <w:b/>
                <w:i w:val="0"/>
                <w:sz w:val="20"/>
              </w:rPr>
              <w:t>Words</w:t>
            </w:r>
          </w:p>
        </w:tc>
        <w:tc>
          <w:tcPr>
            <w:tcW w:type="dxa" w:w="1038"/>
          </w:tcPr>
          <w:p>
            <w:r/>
            <w:r>
              <w:rPr>
                <w:rFonts w:ascii="Georgia" w:hAnsi="Georgia" w:eastAsia="Georgia"/>
                <w:b/>
                <w:i w:val="0"/>
                <w:sz w:val="20"/>
              </w:rPr>
              <w:t>Hedges</w:t>
            </w:r>
          </w:p>
        </w:tc>
        <w:tc>
          <w:tcPr>
            <w:tcW w:type="dxa" w:w="1038"/>
          </w:tcPr>
          <w:p>
            <w:r/>
            <w:r>
              <w:rPr>
                <w:rFonts w:ascii="Georgia" w:hAnsi="Georgia" w:eastAsia="Georgia"/>
                <w:b/>
                <w:i w:val="0"/>
                <w:sz w:val="20"/>
              </w:rPr>
              <w:t>FPs</w:t>
            </w:r>
          </w:p>
        </w:tc>
        <w:tc>
          <w:tcPr>
            <w:tcW w:type="dxa" w:w="1038"/>
          </w:tcPr>
          <w:p>
            <w:r/>
            <w:r>
              <w:rPr>
                <w:rFonts w:ascii="Georgia" w:hAnsi="Georgia" w:eastAsia="Georgia"/>
                <w:b/>
                <w:i w:val="0"/>
                <w:sz w:val="20"/>
              </w:rPr>
              <w:t>L3 Sites</w:t>
            </w:r>
          </w:p>
        </w:tc>
        <w:tc>
          <w:tcPr>
            <w:tcW w:type="dxa" w:w="1038"/>
          </w:tcPr>
          <w:p>
            <w:r/>
            <w:r>
              <w:rPr>
                <w:rFonts w:ascii="Georgia" w:hAnsi="Georgia" w:eastAsia="Georgia"/>
                <w:b/>
                <w:i w:val="0"/>
                <w:sz w:val="20"/>
              </w:rPr>
              <w:t>Zero-Hedge</w:t>
            </w:r>
          </w:p>
        </w:tc>
        <w:tc>
          <w:tcPr>
            <w:tcW w:type="dxa" w:w="1038"/>
          </w:tcPr>
          <w:p>
            <w:r/>
            <w:r>
              <w:rPr>
                <w:rFonts w:ascii="Georgia" w:hAnsi="Georgia" w:eastAsia="Georgia"/>
                <w:b/>
                <w:i w:val="0"/>
                <w:sz w:val="20"/>
              </w:rPr>
              <w:t>Hedges/100w</w:t>
            </w:r>
          </w:p>
        </w:tc>
      </w:tr>
      <w:tr>
        <w:tc>
          <w:tcPr>
            <w:tcW w:type="dxa" w:w="1038"/>
          </w:tcPr>
          <w:p>
            <w:r/>
            <w:r>
              <w:rPr>
                <w:rFonts w:ascii="Georgia" w:hAnsi="Georgia" w:eastAsia="Georgia"/>
                <w:b w:val="0"/>
                <w:i w:val="0"/>
                <w:sz w:val="20"/>
              </w:rPr>
              <w:t>Agriculture</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4,300</w:t>
            </w:r>
          </w:p>
        </w:tc>
        <w:tc>
          <w:tcPr>
            <w:tcW w:type="dxa" w:w="1038"/>
          </w:tcPr>
          <w:p>
            <w:r/>
            <w:r>
              <w:rPr>
                <w:rFonts w:ascii="Georgia" w:hAnsi="Georgia" w:eastAsia="Georgia"/>
                <w:b w:val="0"/>
                <w:i w:val="0"/>
                <w:sz w:val="20"/>
              </w:rPr>
              <w:t>26</w:t>
            </w:r>
          </w:p>
        </w:tc>
        <w:tc>
          <w:tcPr>
            <w:tcW w:type="dxa" w:w="1038"/>
          </w:tcPr>
          <w:p>
            <w:r/>
            <w:r>
              <w:rPr>
                <w:rFonts w:ascii="Georgia" w:hAnsi="Georgia" w:eastAsia="Georgia"/>
                <w:b w:val="0"/>
                <w:i w:val="0"/>
                <w:sz w:val="20"/>
              </w:rPr>
              <w:t>15</w:t>
            </w:r>
          </w:p>
        </w:tc>
        <w:tc>
          <w:tcPr>
            <w:tcW w:type="dxa" w:w="1038"/>
          </w:tcPr>
          <w:p>
            <w:r/>
            <w:r>
              <w:rPr>
                <w:rFonts w:ascii="Georgia" w:hAnsi="Georgia" w:eastAsia="Georgia"/>
                <w:b w:val="0"/>
                <w:i w:val="0"/>
                <w:sz w:val="20"/>
              </w:rPr>
              <w:t>12</w:t>
            </w:r>
          </w:p>
        </w:tc>
        <w:tc>
          <w:tcPr>
            <w:tcW w:type="dxa" w:w="1038"/>
          </w:tcPr>
          <w:p>
            <w:r/>
            <w:r>
              <w:rPr>
                <w:rFonts w:ascii="Georgia" w:hAnsi="Georgia" w:eastAsia="Georgia"/>
                <w:b w:val="0"/>
                <w:i w:val="0"/>
                <w:sz w:val="20"/>
              </w:rPr>
              <w:t>8</w:t>
            </w:r>
          </w:p>
        </w:tc>
        <w:tc>
          <w:tcPr>
            <w:tcW w:type="dxa" w:w="1038"/>
          </w:tcPr>
          <w:p>
            <w:r/>
            <w:r>
              <w:rPr>
                <w:rFonts w:ascii="Georgia" w:hAnsi="Georgia" w:eastAsia="Georgia"/>
                <w:b w:val="0"/>
                <w:i w:val="0"/>
                <w:sz w:val="20"/>
              </w:rPr>
              <w:t>0.60</w:t>
            </w:r>
          </w:p>
        </w:tc>
      </w:tr>
      <w:tr>
        <w:tc>
          <w:tcPr>
            <w:tcW w:type="dxa" w:w="1038"/>
          </w:tcPr>
          <w:p>
            <w:r/>
            <w:r>
              <w:rPr>
                <w:rFonts w:ascii="Georgia" w:hAnsi="Georgia" w:eastAsia="Georgia"/>
                <w:b w:val="0"/>
                <w:i w:val="0"/>
                <w:sz w:val="20"/>
              </w:rPr>
              <w:t>Biology</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4,509</w:t>
            </w:r>
          </w:p>
        </w:tc>
        <w:tc>
          <w:tcPr>
            <w:tcW w:type="dxa" w:w="1038"/>
          </w:tcPr>
          <w:p>
            <w:r/>
            <w:r>
              <w:rPr>
                <w:rFonts w:ascii="Georgia" w:hAnsi="Georgia" w:eastAsia="Georgia"/>
                <w:b w:val="0"/>
                <w:i w:val="0"/>
                <w:sz w:val="20"/>
              </w:rPr>
              <w:t>25</w:t>
            </w:r>
          </w:p>
        </w:tc>
        <w:tc>
          <w:tcPr>
            <w:tcW w:type="dxa" w:w="1038"/>
          </w:tcPr>
          <w:p>
            <w:r/>
            <w:r>
              <w:rPr>
                <w:rFonts w:ascii="Georgia" w:hAnsi="Georgia" w:eastAsia="Georgia"/>
                <w:b w:val="0"/>
                <w:i w:val="0"/>
                <w:sz w:val="20"/>
              </w:rPr>
              <w:t>35</w:t>
            </w:r>
          </w:p>
        </w:tc>
        <w:tc>
          <w:tcPr>
            <w:tcW w:type="dxa" w:w="1038"/>
          </w:tcPr>
          <w:p>
            <w:r/>
            <w:r>
              <w:rPr>
                <w:rFonts w:ascii="Georgia" w:hAnsi="Georgia" w:eastAsia="Georgia"/>
                <w:b w:val="0"/>
                <w:i w:val="0"/>
                <w:sz w:val="20"/>
              </w:rPr>
              <w:t>10</w:t>
            </w:r>
          </w:p>
        </w:tc>
        <w:tc>
          <w:tcPr>
            <w:tcW w:type="dxa" w:w="1038"/>
          </w:tcPr>
          <w:p>
            <w:r/>
            <w:r>
              <w:rPr>
                <w:rFonts w:ascii="Georgia" w:hAnsi="Georgia" w:eastAsia="Georgia"/>
                <w:b w:val="0"/>
                <w:i w:val="0"/>
                <w:sz w:val="20"/>
              </w:rPr>
              <w:t>7</w:t>
            </w:r>
          </w:p>
        </w:tc>
        <w:tc>
          <w:tcPr>
            <w:tcW w:type="dxa" w:w="1038"/>
          </w:tcPr>
          <w:p>
            <w:r/>
            <w:r>
              <w:rPr>
                <w:rFonts w:ascii="Georgia" w:hAnsi="Georgia" w:eastAsia="Georgia"/>
                <w:b w:val="0"/>
                <w:i w:val="0"/>
                <w:sz w:val="20"/>
              </w:rPr>
              <w:t>0.55</w:t>
            </w:r>
          </w:p>
        </w:tc>
      </w:tr>
      <w:tr>
        <w:tc>
          <w:tcPr>
            <w:tcW w:type="dxa" w:w="1038"/>
          </w:tcPr>
          <w:p>
            <w:r/>
            <w:r>
              <w:rPr>
                <w:rFonts w:ascii="Georgia" w:hAnsi="Georgia" w:eastAsia="Georgia"/>
                <w:b w:val="0"/>
                <w:i w:val="0"/>
                <w:sz w:val="20"/>
              </w:rPr>
              <w:t>Veterinary Medicine</w:t>
            </w:r>
          </w:p>
        </w:tc>
        <w:tc>
          <w:tcPr>
            <w:tcW w:type="dxa" w:w="1038"/>
          </w:tcPr>
          <w:p>
            <w:r/>
            <w:r>
              <w:rPr>
                <w:rFonts w:ascii="Georgia" w:hAnsi="Georgia" w:eastAsia="Georgia"/>
                <w:b w:val="0"/>
                <w:i w:val="0"/>
                <w:sz w:val="20"/>
              </w:rPr>
              <w:t>20</w:t>
            </w:r>
          </w:p>
        </w:tc>
        <w:tc>
          <w:tcPr>
            <w:tcW w:type="dxa" w:w="1038"/>
          </w:tcPr>
          <w:p>
            <w:r/>
            <w:r>
              <w:rPr>
                <w:rFonts w:ascii="Georgia" w:hAnsi="Georgia" w:eastAsia="Georgia"/>
                <w:b w:val="0"/>
                <w:i w:val="0"/>
                <w:sz w:val="20"/>
              </w:rPr>
              <w:t>5,060</w:t>
            </w:r>
          </w:p>
        </w:tc>
        <w:tc>
          <w:tcPr>
            <w:tcW w:type="dxa" w:w="1038"/>
          </w:tcPr>
          <w:p>
            <w:r/>
            <w:r>
              <w:rPr>
                <w:rFonts w:ascii="Georgia" w:hAnsi="Georgia" w:eastAsia="Georgia"/>
                <w:b w:val="0"/>
                <w:i w:val="0"/>
                <w:sz w:val="20"/>
              </w:rPr>
              <w:t>9</w:t>
            </w:r>
          </w:p>
        </w:tc>
        <w:tc>
          <w:tcPr>
            <w:tcW w:type="dxa" w:w="1038"/>
          </w:tcPr>
          <w:p>
            <w:r/>
            <w:r>
              <w:rPr>
                <w:rFonts w:ascii="Georgia" w:hAnsi="Georgia" w:eastAsia="Georgia"/>
                <w:b w:val="0"/>
                <w:i w:val="0"/>
                <w:sz w:val="20"/>
              </w:rPr>
              <w:t>13</w:t>
            </w:r>
          </w:p>
        </w:tc>
        <w:tc>
          <w:tcPr>
            <w:tcW w:type="dxa" w:w="1038"/>
          </w:tcPr>
          <w:p>
            <w:r/>
            <w:r>
              <w:rPr>
                <w:rFonts w:ascii="Georgia" w:hAnsi="Georgia" w:eastAsia="Georgia"/>
                <w:b w:val="0"/>
                <w:i w:val="0"/>
                <w:sz w:val="20"/>
              </w:rPr>
              <w:t>15</w:t>
            </w:r>
          </w:p>
        </w:tc>
        <w:tc>
          <w:tcPr>
            <w:tcW w:type="dxa" w:w="1038"/>
          </w:tcPr>
          <w:p>
            <w:r/>
            <w:r>
              <w:rPr>
                <w:rFonts w:ascii="Georgia" w:hAnsi="Georgia" w:eastAsia="Georgia"/>
                <w:b w:val="0"/>
                <w:i w:val="0"/>
                <w:sz w:val="20"/>
              </w:rPr>
              <w:t>13</w:t>
            </w:r>
          </w:p>
        </w:tc>
        <w:tc>
          <w:tcPr>
            <w:tcW w:type="dxa" w:w="1038"/>
          </w:tcPr>
          <w:p>
            <w:r/>
            <w:r>
              <w:rPr>
                <w:rFonts w:ascii="Georgia" w:hAnsi="Georgia" w:eastAsia="Georgia"/>
                <w:b w:val="0"/>
                <w:i w:val="0"/>
                <w:sz w:val="20"/>
              </w:rPr>
              <w:t>0.18</w:t>
            </w:r>
          </w:p>
        </w:tc>
      </w:tr>
      <w:tr>
        <w:tc>
          <w:tcPr>
            <w:tcW w:type="dxa" w:w="1038"/>
          </w:tcPr>
          <w:p>
            <w:r/>
            <w:r>
              <w:rPr>
                <w:rFonts w:ascii="Georgia" w:hAnsi="Georgia" w:eastAsia="Georgia"/>
                <w:b w:val="0"/>
                <w:i w:val="0"/>
                <w:sz w:val="20"/>
              </w:rPr>
              <w:t>Total</w:t>
            </w:r>
          </w:p>
        </w:tc>
        <w:tc>
          <w:tcPr>
            <w:tcW w:type="dxa" w:w="1038"/>
          </w:tcPr>
          <w:p>
            <w:r/>
            <w:r>
              <w:rPr>
                <w:rFonts w:ascii="Georgia" w:hAnsi="Georgia" w:eastAsia="Georgia"/>
                <w:b w:val="0"/>
                <w:i w:val="0"/>
                <w:sz w:val="20"/>
              </w:rPr>
              <w:t>60</w:t>
            </w:r>
          </w:p>
        </w:tc>
        <w:tc>
          <w:tcPr>
            <w:tcW w:type="dxa" w:w="1038"/>
          </w:tcPr>
          <w:p>
            <w:r/>
            <w:r>
              <w:rPr>
                <w:rFonts w:ascii="Georgia" w:hAnsi="Georgia" w:eastAsia="Georgia"/>
                <w:b w:val="0"/>
                <w:i w:val="0"/>
                <w:sz w:val="20"/>
              </w:rPr>
              <w:t>13,869</w:t>
            </w:r>
          </w:p>
        </w:tc>
        <w:tc>
          <w:tcPr>
            <w:tcW w:type="dxa" w:w="1038"/>
          </w:tcPr>
          <w:p>
            <w:r/>
            <w:r>
              <w:rPr>
                <w:rFonts w:ascii="Georgia" w:hAnsi="Georgia" w:eastAsia="Georgia"/>
                <w:b w:val="0"/>
                <w:i w:val="0"/>
                <w:sz w:val="20"/>
              </w:rPr>
              <w:t>60</w:t>
            </w:r>
          </w:p>
        </w:tc>
        <w:tc>
          <w:tcPr>
            <w:tcW w:type="dxa" w:w="1038"/>
          </w:tcPr>
          <w:p>
            <w:r/>
            <w:r>
              <w:rPr>
                <w:rFonts w:ascii="Georgia" w:hAnsi="Georgia" w:eastAsia="Georgia"/>
                <w:b w:val="0"/>
                <w:i w:val="0"/>
                <w:sz w:val="20"/>
              </w:rPr>
              <w:t>63</w:t>
            </w:r>
          </w:p>
        </w:tc>
        <w:tc>
          <w:tcPr>
            <w:tcW w:type="dxa" w:w="1038"/>
          </w:tcPr>
          <w:p>
            <w:r/>
            <w:r>
              <w:rPr>
                <w:rFonts w:ascii="Georgia" w:hAnsi="Georgia" w:eastAsia="Georgia"/>
                <w:b w:val="0"/>
                <w:i w:val="0"/>
                <w:sz w:val="20"/>
              </w:rPr>
              <w:t>37</w:t>
            </w:r>
          </w:p>
        </w:tc>
        <w:tc>
          <w:tcPr>
            <w:tcW w:type="dxa" w:w="1038"/>
          </w:tcPr>
          <w:p>
            <w:r/>
            <w:r>
              <w:rPr>
                <w:rFonts w:ascii="Georgia" w:hAnsi="Georgia" w:eastAsia="Georgia"/>
                <w:b w:val="0"/>
                <w:i w:val="0"/>
                <w:sz w:val="20"/>
              </w:rPr>
              <w:t>28</w:t>
            </w:r>
          </w:p>
        </w:tc>
        <w:tc>
          <w:tcPr>
            <w:tcW w:type="dxa" w:w="1038"/>
          </w:tcPr>
          <w:p>
            <w:r/>
            <w:r>
              <w:rPr>
                <w:rFonts w:ascii="Georgia" w:hAnsi="Georgia" w:eastAsia="Georgia"/>
                <w:b w:val="0"/>
                <w:i w:val="0"/>
                <w:sz w:val="20"/>
              </w:rPr>
              <w:t>0.43</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Table 4 shows that Agriculture had the highest hedge density at 0.60 per 100 words (26 hedges across 4,300 words), followed by Biology at 0.55 (25 hedges across 4,509 words), and Veterinary Medicine at 0.18 (9 hedges across 5,060 words). The overall corpus density was 0.43 hedges per 100 words. Agriculture’s lead over Biology is modest (0.05 hedges per 100 words), but Veterinary Medicine’s density is notably lower than both, at approximately one-third of Agriculture’s rate and one-third of Biology’s.</w:t>
      </w:r>
    </w:p>
    <w:p>
      <w:pPr>
        <w:spacing w:line="480" w:lineRule="auto" w:before="0" w:after="0"/>
        <w:ind w:firstLine="720"/>
        <w:jc w:val="both"/>
      </w:pPr>
      <w:r>
        <w:rPr>
          <w:rFonts w:ascii="Georgia" w:hAnsi="Georgia" w:eastAsia="Georgia"/>
          <w:b w:val="0"/>
          <w:i w:val="0"/>
          <w:sz w:val="22"/>
        </w:rPr>
        <w:t>The zero-hedge abstract count further sharpens this contrast. Of the 60 abstracts, 28 (46.7%) contained zero hedge tokens. Veterinary Medicine accounted for 13 of these zero-hedge abstracts (65% of VM abstracts), Biology for 7 (35%), and Agriculture for 8 (40%). The overrepresentation of Veterinary Medicine in the zero-hedge category is the primary driver of its low density. More than half of VM abstracts contained no hedging devices at all, compared to less than a third in the other two disciplines. A chi-square test of independence on the zero-hedge distribution across disciplines (discipline × zero/nonzero) was not significant (χ² = 4.15, df = 2, p = 0.13), indicating that the observed disciplinary differences in zero-hedge rates do not reach statistical significance with the current sample size.</w:t>
      </w:r>
    </w:p>
    <w:p>
      <w:pPr>
        <w:spacing w:line="480" w:lineRule="auto" w:before="0" w:after="0"/>
        <w:ind w:firstLine="720"/>
        <w:jc w:val="both"/>
      </w:pPr>
      <w:r>
        <w:rPr>
          <w:rFonts w:ascii="Georgia" w:hAnsi="Georgia" w:eastAsia="Georgia"/>
          <w:b w:val="0"/>
          <w:i w:val="0"/>
          <w:sz w:val="22"/>
        </w:rPr>
        <w:t>Per-abstract hedge distributions reveal substantial skew. Agriculture abstracts averaged 1.30 hedges (median = 1, SD = 1.84, range = 0–8), Biology averaged 1.25 (median = 1, SD = 1.25, range = 0–4), and Veterinary Medicine averaged 0.45 (median = 0, SD = 0.76, range = 0–3). The high standard deviation in Agriculture reflects the influence of Acs2, which contained 8 hedges alone. When Acs2 is excluded as a sensitivity check, Agriculture's density drops to 0.44 per 100 words, below Biology's 0.55, suggesting that the Agriculture &gt; Biology ranking is partly driven by a single outlier abstract. An exploratory Kruskal-Wallis test on per-abstract hedge counts yielded H = 6.02, p = .049, suggesting a possible difference in the distribution of hedge counts across disciplines. Given the small sample size and zero-inflated distribution, this result should be treated as preliminary rather than as strong evidence of disciplinary differences.</w:t>
      </w:r>
    </w:p>
    <w:p>
      <w:pPr>
        <w:spacing w:line="480" w:lineRule="auto" w:before="0" w:after="0"/>
        <w:ind w:firstLine="720"/>
        <w:jc w:val="both"/>
      </w:pPr>
      <w:r>
        <w:rPr>
          <w:rFonts w:ascii="Georgia" w:hAnsi="Georgia" w:eastAsia="Georgia"/>
          <w:b w:val="0"/>
          <w:i w:val="0"/>
          <w:sz w:val="22"/>
        </w:rPr>
        <w:t>These frequency patterns partially align with the literature on disciplinary variation. Afshar et al. (2014) found that agriculture used the fewest hedges among humanities, basic sciences, and agriculture. The present study’s finding that Agriculture has the highest density appears to contradict this. However, Afshar et al. studied expert-written research articles, not undergraduate thesis abstracts. The discrepancy may reflect a difference between expert writing and that of developing researchers: expert agricultural scientists may hedge less because they have established conventions for managing claim responsibility, while developing agricultural researchers may hedge more because they are less certain of their findings or less trained in assertive scientific reporting.</w:t>
      </w:r>
    </w:p>
    <w:p>
      <w:pPr>
        <w:spacing w:line="480" w:lineRule="auto" w:before="0" w:after="0"/>
        <w:ind w:firstLine="720"/>
        <w:jc w:val="both"/>
      </w:pPr>
      <w:r>
        <w:rPr>
          <w:rFonts w:ascii="Georgia" w:hAnsi="Georgia" w:eastAsia="Georgia"/>
          <w:b w:val="0"/>
          <w:i w:val="0"/>
          <w:sz w:val="22"/>
        </w:rPr>
        <w:t>Veterinary Medicine’s low density is more difficult to interpret. One possible explanation relates to the nature of VM research in this corpus. Many VM abstracts reported clinical findings from animal studies (e.g., drug efficacy trials, disease detection, hematological profiling). Several abstracts in the VM subset involved diagnostic or presence/absence-type outcomes, which may provide one possible explanation for the relatively categorical reporting observed in this corpus. A writer who finds that “no positive results were observed” may see little need to hedge, since the absence of a finding is reported as a fact rather than an interpretation. This is consistent with Salager-Meyer’s (1994) claim-responsibility framework: when the evidence is binary, the epistemic responsibility is lower, and hedging becomes less necessary.</w:t>
      </w:r>
    </w:p>
    <w:p>
      <w:pPr>
        <w:spacing w:line="480" w:lineRule="auto" w:before="0" w:after="0"/>
        <w:ind w:firstLine="720"/>
        <w:jc w:val="both"/>
      </w:pPr>
      <w:r>
        <w:rPr>
          <w:rFonts w:ascii="Georgia" w:hAnsi="Georgia" w:eastAsia="Georgia"/>
          <w:b w:val="0"/>
          <w:i w:val="0"/>
          <w:sz w:val="22"/>
        </w:rPr>
        <w:t>The false positive distribution also varies by discipline. Biology produced 35 false positives, far more than Agriculture (15) or Veterinary Medicine (13).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p>
    <w:p>
      <w:pPr>
        <w:keepNext/>
        <w:keepLines/>
        <w:spacing w:before="240" w:after="240" w:line="480" w:lineRule="auto"/>
        <w:jc w:val="left"/>
      </w:pPr>
      <w:r>
        <w:rPr>
          <w:rFonts w:ascii="Georgia" w:hAnsi="Georgia" w:eastAsia="Georgia"/>
          <w:b/>
          <w:i w:val="0"/>
          <w:sz w:val="24"/>
        </w:rPr>
        <w:t>PART III: RHETORICAL FUNCTIONS OF HEDGING DEVICES</w:t>
      </w:r>
    </w:p>
    <w:p>
      <w:pPr>
        <w:spacing w:line="480" w:lineRule="auto" w:before="0" w:after="0"/>
        <w:ind w:firstLine="720"/>
        <w:jc w:val="both"/>
      </w:pPr>
      <w:r>
        <w:rPr>
          <w:rFonts w:ascii="Georgia" w:hAnsi="Georgia" w:eastAsia="Georgia"/>
          <w:b w:val="0"/>
          <w:i w:val="0"/>
          <w:sz w:val="22"/>
        </w:rPr>
        <w:t>All 60 hedge tokens in the corpus served the function of Epistemic Caution (EC). No instances of Politeness/Deference (P) or Discourse Organization (DO) were identified. Table 5 presents the function distribution.</w:t>
      </w:r>
    </w:p>
    <w:p>
      <w:pPr>
        <w:spacing w:before="240" w:after="0"/>
      </w:pPr>
      <w:r>
        <w:rPr>
          <w:rFonts w:ascii="Georgia" w:hAnsi="Georgia" w:eastAsia="Georgia"/>
          <w:b/>
          <w:i w:val="0"/>
          <w:sz w:val="22"/>
        </w:rPr>
        <w:t>Table 5</w:t>
      </w:r>
    </w:p>
    <w:p>
      <w:pPr>
        <w:spacing w:after="120"/>
      </w:pPr>
      <w:r>
        <w:rPr>
          <w:rFonts w:ascii="Georgia" w:hAnsi="Georgia" w:eastAsia="Georgia"/>
          <w:b w:val="0"/>
          <w:i/>
          <w:sz w:val="22"/>
        </w:rPr>
        <w:t>Hedge Function Distribution</w:t>
      </w:r>
    </w:p>
    <w:tbl>
      <w:tblPr>
        <w:tblStyle w:val="TableGrid"/>
        <w:tblW w:type="auto" w:w="0"/>
        <w:tblLayout w:type="autofit"/>
        <w:tblLook w:firstColumn="1" w:firstRow="1" w:lastColumn="0" w:lastRow="0" w:noHBand="0" w:noVBand="1" w:val="04A0"/>
      </w:tblPr>
      <w:tblGrid>
        <w:gridCol w:w="2769"/>
        <w:gridCol w:w="2769"/>
        <w:gridCol w:w="2769"/>
      </w:tblGrid>
      <w:tr>
        <w:tc>
          <w:tcPr>
            <w:tcW w:type="dxa" w:w="2769"/>
          </w:tcPr>
          <w:p>
            <w:r/>
            <w:r>
              <w:rPr>
                <w:rFonts w:ascii="Georgia" w:hAnsi="Georgia" w:eastAsia="Georgia"/>
                <w:b/>
                <w:i w:val="0"/>
                <w:sz w:val="20"/>
              </w:rPr>
              <w:t>Function</w:t>
            </w:r>
          </w:p>
        </w:tc>
        <w:tc>
          <w:tcPr>
            <w:tcW w:type="dxa" w:w="2769"/>
          </w:tcPr>
          <w:p>
            <w:r/>
            <w:r>
              <w:rPr>
                <w:rFonts w:ascii="Georgia" w:hAnsi="Georgia" w:eastAsia="Georgia"/>
                <w:b/>
                <w:i w:val="0"/>
                <w:sz w:val="20"/>
              </w:rPr>
              <w:t>Count</w:t>
            </w:r>
          </w:p>
        </w:tc>
        <w:tc>
          <w:tcPr>
            <w:tcW w:type="dxa" w:w="2769"/>
          </w:tcPr>
          <w:p>
            <w:r/>
            <w:r>
              <w:rPr>
                <w:rFonts w:ascii="Georgia" w:hAnsi="Georgia" w:eastAsia="Georgia"/>
                <w:b/>
                <w:i w:val="0"/>
                <w:sz w:val="20"/>
              </w:rPr>
              <w:t>Percentage</w:t>
            </w:r>
          </w:p>
        </w:tc>
      </w:tr>
      <w:tr>
        <w:tc>
          <w:tcPr>
            <w:tcW w:type="dxa" w:w="2769"/>
          </w:tcPr>
          <w:p>
            <w:r/>
            <w:r>
              <w:rPr>
                <w:rFonts w:ascii="Georgia" w:hAnsi="Georgia" w:eastAsia="Georgia"/>
                <w:b w:val="0"/>
                <w:i w:val="0"/>
                <w:sz w:val="20"/>
              </w:rPr>
              <w:t>Epistemic Caution (EC)</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r>
        <w:tc>
          <w:tcPr>
            <w:tcW w:type="dxa" w:w="2769"/>
          </w:tcPr>
          <w:p>
            <w:r/>
            <w:r>
              <w:rPr>
                <w:rFonts w:ascii="Georgia" w:hAnsi="Georgia" w:eastAsia="Georgia"/>
                <w:b w:val="0"/>
                <w:i w:val="0"/>
                <w:sz w:val="20"/>
              </w:rPr>
              <w:t>Politeness/Deference (P)</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Discourse Organization (DO)</w:t>
            </w:r>
          </w:p>
        </w:tc>
        <w:tc>
          <w:tcPr>
            <w:tcW w:type="dxa" w:w="2769"/>
          </w:tcPr>
          <w:p>
            <w:r/>
            <w:r>
              <w:rPr>
                <w:rFonts w:ascii="Georgia" w:hAnsi="Georgia" w:eastAsia="Georgia"/>
                <w:b w:val="0"/>
                <w:i w:val="0"/>
                <w:sz w:val="20"/>
              </w:rPr>
              <w:t>0</w:t>
            </w:r>
          </w:p>
        </w:tc>
        <w:tc>
          <w:tcPr>
            <w:tcW w:type="dxa" w:w="2769"/>
          </w:tcPr>
          <w:p>
            <w:r/>
            <w:r>
              <w:rPr>
                <w:rFonts w:ascii="Georgia" w:hAnsi="Georgia" w:eastAsia="Georgia"/>
                <w:b w:val="0"/>
                <w:i w:val="0"/>
                <w:sz w:val="20"/>
              </w:rPr>
              <w:t>0.0%</w:t>
            </w:r>
          </w:p>
        </w:tc>
      </w:tr>
      <w:tr>
        <w:tc>
          <w:tcPr>
            <w:tcW w:type="dxa" w:w="2769"/>
          </w:tcPr>
          <w:p>
            <w:r/>
            <w:r>
              <w:rPr>
                <w:rFonts w:ascii="Georgia" w:hAnsi="Georgia" w:eastAsia="Georgia"/>
                <w:b w:val="0"/>
                <w:i w:val="0"/>
                <w:sz w:val="20"/>
              </w:rPr>
              <w:t>Total</w:t>
            </w:r>
          </w:p>
        </w:tc>
        <w:tc>
          <w:tcPr>
            <w:tcW w:type="dxa" w:w="2769"/>
          </w:tcPr>
          <w:p>
            <w:r/>
            <w:r>
              <w:rPr>
                <w:rFonts w:ascii="Georgia" w:hAnsi="Georgia" w:eastAsia="Georgia"/>
                <w:b w:val="0"/>
                <w:i w:val="0"/>
                <w:sz w:val="20"/>
              </w:rPr>
              <w:t>60</w:t>
            </w:r>
          </w:p>
        </w:tc>
        <w:tc>
          <w:tcPr>
            <w:tcW w:type="dxa" w:w="2769"/>
          </w:tcPr>
          <w:p>
            <w:r/>
            <w:r>
              <w:rPr>
                <w:rFonts w:ascii="Georgia" w:hAnsi="Georgia" w:eastAsia="Georgia"/>
                <w:b w:val="0"/>
                <w:i w:val="0"/>
                <w:sz w:val="20"/>
              </w:rPr>
              <w:t>100.0%</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t>The uniform assignment of EC is a notable finding, though it requires a caveat about coder reliability. In Hyland's (1998) expert corpus, hedges served multiple functions: epistemic caution dominated, but politeness markers (e.g., “as suggested by Hyland”) and discourse organizers (e.g., “it should be noted that”) also appeared. Their complete absence in this undergraduate corpus suggests that PSAU developing researchers use hedging exclusively to manage certainty about claims, not to manage social relations with readers or to structure their text. However, this functional uniformity must be interpreted in light of two limitations. First, reliability was assessed through intra-rater agreement only (κ = 0.89); without a second independent coder, it is not possible to determine whether the uniform EC assignment reflects the corpus itself or the application of a single interpretive frame. Second, as noted below, the abstract genre may itself suppress interactional functions regardless of writer sophistication. The functional finding is therefore reported as observed in this corpus, not as established.</w:t>
      </w:r>
    </w:p>
    <w:p>
      <w:pPr>
        <w:spacing w:line="480" w:lineRule="auto" w:before="0" w:after="0"/>
        <w:ind w:firstLine="720"/>
        <w:jc w:val="both"/>
      </w:pPr>
      <w:r>
        <w:rPr>
          <w:rFonts w:ascii="Georgia" w:hAnsi="Georgia" w:eastAsia="Georgia"/>
          <w:b w:val="0"/>
          <w:i w:val="0"/>
          <w:sz w:val="22"/>
        </w:rPr>
        <w:t>This functional narrowness is consistent with the literature on developing researchers' academic writing. Hyland and Milton (1997) observed that developing L2 researchers typically use a restricted range of hedge functions, defaulting to epistemic caution and rarely employing the interactional functions that characterize expert writing. The absence of politeness hedges is particularly telling: these devices require awareness of the writer-reader relationship and a rhetorical sensitivity that develops through disciplinary socialization. Their absence suggests that the abstracts in this corpus are written as self-contained reports rather than as contributions to an ongoing disciplinary conversation.</w:t>
      </w:r>
    </w:p>
    <w:p>
      <w:pPr>
        <w:spacing w:line="480" w:lineRule="auto" w:before="0" w:after="0"/>
        <w:ind w:firstLine="720"/>
        <w:jc w:val="both"/>
      </w:pPr>
      <w:r>
        <w:t>The present study cannot distinguish between these two explanations without a comparable expert-abstract corpus, but the genre-constraint interpretation is worth noting as a competing explanation for the functional narrowness observed. Future research with a matched expert-abstract comparison corpus is needed to disentangle genre effects from writer-competence effects. Without such a comparison, the functional uniformity observed here should not be taken as evidence of writer deficit.</w:t>
      </w:r>
    </w:p>
    <w:p>
      <w:pPr>
        <w:spacing w:line="480" w:lineRule="auto" w:before="0" w:after="0"/>
        <w:ind w:firstLine="720"/>
        <w:jc w:val="both"/>
      </w:pPr>
      <w:r>
        <w:rPr>
          <w:rFonts w:ascii="Georgia" w:hAnsi="Georgia" w:eastAsia="Georgia"/>
          <w:b w:val="0"/>
          <w:i w:val="0"/>
          <w:sz w:val="22"/>
        </w:rPr>
        <w:t>The relationship between hedge type and function further illuminates the patterns. Modal verbs (21 instances, all EC) were used almost exclusively to express possibility about results or implications, as in “the biosynthesis... may affect the overall development.” Lexical hedges (36 instances, all EC) were used to qualify the strength of findings, as in “results suggest that fermented banana peel... can significantly enhance growth.” The convergence of all hedge types on a single function reinforces the interpretation that these writers view hedging primarily as a tool for managing factual certainty, not for managing social or textual relationships.</w:t>
      </w:r>
    </w:p>
    <w:p>
      <w:pPr>
        <w:keepNext/>
        <w:keepLines/>
        <w:spacing w:before="240" w:after="240" w:line="480" w:lineRule="auto"/>
        <w:jc w:val="left"/>
      </w:pPr>
      <w:r>
        <w:rPr>
          <w:rFonts w:ascii="Georgia" w:hAnsi="Georgia" w:eastAsia="Georgia"/>
          <w:b/>
          <w:i w:val="0"/>
          <w:sz w:val="24"/>
        </w:rPr>
        <w:t>PART IV: DISCIPLINE-SPECIFIC HEDGING PROFILES</w:t>
      </w:r>
    </w:p>
    <w:p>
      <w:pPr>
        <w:spacing w:line="480" w:lineRule="auto" w:before="0" w:after="0"/>
        <w:ind w:firstLine="720"/>
        <w:jc w:val="both"/>
      </w:pPr>
      <w:r>
        <w:t>The frequency and functional patterns identified in Parts I through III reveal three observable patterns within this corpus. Given the small sample (n = 20 per discipline) and the borderline statistical support (Kruskal-Wallis p = .049; chi-square on zero-hedge distribution p = .13, which does not reach the conventional threshold of p &lt; .05), these patterns are exploratory observations rather than established typologies. The labels below describe what was observed in this corpus; they should not be read as stable discipline-level characteristics. Generalization beyond this corpus and beyond the three observed disciplines is not warranted. The patterns are interpreted through the lens of Salager-Meyer's (1994) claim-responsibility framework and Hyland's (2005) stance model.</w:t>
      </w:r>
    </w:p>
    <w:p>
      <w:pPr>
        <w:spacing w:line="480" w:lineRule="auto" w:before="0" w:after="0"/>
        <w:ind w:firstLine="720"/>
        <w:jc w:val="both"/>
      </w:pPr>
      <w:r>
        <w:t>Agriculture: An observed pattern suggestive of cautious implication, though outlier-dependent. Agriculture's hedge density (0.60 per 100 words) is partly driven by a single outlier abstract (Acs2, which alone contained 8 hedges). Without Acs2, Agriculture drops below Biology (0.44 vs. 0.55 per 100 words), making the Agriculture-Biology contrast marginal and not robust. The Agriculture-Biology difference is therefore better characterized as marginal and outlier-driven than as a stable disciplinary pattern. Within this caveat, the balanced use of modal verbs (14) and lexical hedges (12) in the observed data suggests a tendency toward cautious implication in this corpus. Agricultural writers in this corpus frequently hedged their implications rather than their direct results. The token “potential” appeared 4 times, and “suggests” appeared 4 times, both typically in conclusion sentences where writers drew out the practical significance of their findings. This pattern reflects what Salager-Meyer (1994) describes as distributed claim responsibility: the writer presents the finding as settled (e.g., “results showed no significant difference”) but hedges the implication (e.g., “this suggests that Trichoderma and fermented azolla at proper application frequencies could be beneficial”). The finding is stated with certainty, while the application is hedged. This may reflect the practical orientation of agricultural research, where findings have direct implications for farming practices and economic outcomes.</w:t>
      </w:r>
    </w:p>
    <w:p>
      <w:pPr>
        <w:spacing w:line="480" w:lineRule="auto" w:before="0" w:after="0"/>
        <w:ind w:firstLine="720"/>
        <w:jc w:val="both"/>
      </w:pPr>
      <w:r>
        <w:rPr>
          <w:rFonts w:ascii="Georgia" w:hAnsi="Georgia" w:eastAsia="Georgia"/>
          <w:b w:val="0"/>
          <w:i w:val="0"/>
          <w:sz w:val="22"/>
        </w:rPr>
        <w:t>Biology: A pattern suggestive of lexical caution with topic-naming. Biology’s moderate density (0.55) is driven almost entirely by lexical hedges (17 of 25 hedges, 68.0%), with only 5 modal verbs. The dominance of “potential” (7 instances) and “indicating” (3 instances) as the top tokens suggests that Biology writers hedge at the level of implication rather than at the level of finding. The high false positive count (35) in Biology reflects the frequent use of “potential” in aim statements, as in “this study aimed to identify the histoprotective potential of Balakat extract”, where the word names a research topic rather than qualifying a claim. This creates a paradox: Biology abstracts use hedge-like vocabulary frequently, but much of it is non-epistemic. The genuine epistemic caution is concentrated in conclusion sentences, where “suggesting” and “potential” qualify what the findings mean for future applications.</w:t>
      </w:r>
    </w:p>
    <w:p>
      <w:pPr>
        <w:spacing w:line="480" w:lineRule="auto" w:before="0" w:after="0"/>
        <w:ind w:firstLine="720"/>
        <w:jc w:val="both"/>
      </w:pPr>
      <w:r>
        <w:rPr>
          <w:rFonts w:ascii="Georgia" w:hAnsi="Georgia" w:eastAsia="Georgia"/>
          <w:b w:val="0"/>
          <w:i w:val="0"/>
          <w:sz w:val="22"/>
        </w:rPr>
        <w:t>Veterinary Medicine: A pattern suggestive of assertive reporting. Veterinary Medicine’s extremely low density (0.18) and high zero-hedge rate (65% of abstracts) suggest a pattern of assertive reporting. VM abstracts in this corpus predominantly used factive verbs (showed, revealed, demonstrated, confirmed) without qualification. The 15 unhedged assertion sites in VM abstracts (the highest among the three disciplines) further indicate that VM writers state their findings as settled facts rather than as tentative conclusions. This pattern may reflect the nature of VM research. One plausible explanation is that VM research often involves diagnostic testing and clinical outcomes that produce binary results. When a test shows “no positive results were observed,” there is little epistemic space for hedging. This is consistent with Salager-Meyer’s (1994) claim-responsibility framework: when the evidence is binary, the epistemic responsibility is lower, and hedging becomes less necessary. The competing explanation, that VM developing researchers simply lack awareness of hedging conventions, cannot be ruled out. However, the fact that VM abstracts also produce the highest count of unhedged assertion sites (15) suggests a systematic pattern of categorical reporting rather than random omission.</w:t>
      </w:r>
    </w:p>
    <w:p>
      <w:pPr>
        <w:spacing w:line="480" w:lineRule="auto" w:before="0" w:after="0"/>
        <w:ind w:firstLine="720"/>
        <w:jc w:val="both"/>
      </w:pPr>
      <w:r>
        <w:rPr>
          <w:rFonts w:ascii="Georgia" w:hAnsi="Georgia" w:eastAsia="Georgia"/>
          <w:b w:val="0"/>
          <w:i w:val="0"/>
          <w:sz w:val="22"/>
        </w:rPr>
        <w:t>Cross-disciplinary comparison reveals a pattern that does not map neatly onto the hard/soft science distinction. Agriculture, typically classified as an applied science, hedges more than Biology, a basic science. Veterinary Medicine, which is clinically applied, hedges least of all. This finding aligns with Salager-Meyer’s (1994) argument that hedging density depends on the specific epistemic demands of a field rather than on a single dimension of disciplinary hardness. The differing orientations toward evidence (agricultural field variability, biological laboratory control, and veterinary clinical outcomes) may create distinct epistemic demands that shape how writers manage claim responsibility, even at the undergraduate level. The most robust disciplinary finding in this corpus is the Veterinary Medicine distinction: its 65% zero-hedge rate and 0.18 density are substantially different from both Agriculture and Biology, while the Agriculture-Biology difference is marginal and partly outlier-driven.</w:t>
      </w:r>
    </w:p>
    <w:p>
      <w:pPr>
        <w:spacing w:line="480" w:lineRule="auto" w:before="0" w:after="0"/>
        <w:ind w:firstLine="720"/>
        <w:jc w:val="both"/>
      </w:pPr>
      <w:r>
        <w:rPr>
          <w:rFonts w:ascii="Georgia" w:hAnsi="Georgia" w:eastAsia="Georgia"/>
          <w:b w:val="0"/>
          <w:i w:val="0"/>
          <w:sz w:val="22"/>
        </w:rPr>
        <w:t>An informal review of the 60 hedge tokens suggests that the majority are concentrated in implication and conclusion sentences rather than in direct results reporting. Tokens such as “potential” (14 instances) and “suggests/suggesting” (10 instances) predominantly appear in sentences that frame what findings mean for future applications, while direct result sentences more commonly use factive verbs (showed, revealed, demonstrated) without qualification. This pattern is most pronounced in Agriculture, where hedges cluster in the implication move, and least pronounced in Veterinary Medicine, where both results and implications are stated categorically. A formal move-structured analysis would be needed to quantify this distribution precisely, but the qualitative pattern supports the interpretation that developing researchers hedge the implications of their findings while reporting the findings themselves as settled fact.</w:t>
      </w:r>
    </w:p>
    <w:p>
      <w:pPr>
        <w:spacing w:line="480" w:lineRule="auto" w:before="0" w:after="0"/>
        <w:ind w:firstLine="720"/>
        <w:jc w:val="both"/>
      </w:pPr>
      <w:r>
        <w:rPr>
          <w:rFonts w:ascii="Georgia" w:hAnsi="Georgia" w:eastAsia="Georgia"/>
          <w:b w:val="0"/>
          <w:i w:val="0"/>
          <w:sz w:val="22"/>
        </w:rPr>
        <w:t>However, the study cannot determine whether these disciplinary patterns reflect genuine epistemic norms internalized by developing researchers or simply the conventions enforced by faculty advisers during thesis supervision. As noted in the scope and limitations, undergraduate theses are heavily supervised, and observed patterns reflect departmental standards as much as individual writer choices. The findings are descriptive of the textual artifacts produced at PSAU, not of the cognitive processes of individual writers.</w:t>
      </w:r>
    </w:p>
    <w:p>
      <w:pPr>
        <w:spacing w:line="480" w:lineRule="auto" w:before="0" w:after="0"/>
        <w:ind w:firstLine="720"/>
        <w:jc w:val="both"/>
      </w:pPr>
      <w:r>
        <w:t>Taken together, three patterns in the data are consistent with what may be described as pro forma hedging: the acquisition of hedge-like lexical items without the corresponding epistemic function. First, the token “potential” accounts for 38.9% of all lexical hedges and appears in nearly identical syntactic frames across multiple abstracts (“the potential of X as a Y,” “has potential as an X”), suggesting formulaic rather than epistemically motivated deployment. Second, the uniform assignment of all 60 hedges to the Epistemic Caution function, with zero instances of Politeness or Discourse Organization, indicates that writers are not making functional rhetorical choices but defaulting to a single hedge type. Third, the 46.7% zero-hedge rate shows that the majority of writers do not engage hedging at all. When hedging does appear, it often takes the form of a learned lexical shell rather than a calibrated stance marker. This pattern aligns with Demir's (2018) finding that L2 writers underuse hedges for reasons that are partly linguistic, and Petchkij's (2019) observation that explicit instruction can change lexical frequency but not always functional range.</w:t>
      </w:r>
    </w:p>
    <w:p>
      <w:pPr>
        <w:spacing w:line="480" w:lineRule="auto" w:before="0" w:after="0"/>
        <w:ind w:firstLine="720"/>
        <w:jc w:val="both"/>
      </w:pPr>
      <w:r>
        <w:t>The term pro forma hedging is offered here not as an established theoretical construct but as a descriptive label for an observed gap between lexical acquisition and epistemic deployment. The label is supported by three observations within a single corpus; it has not been validated through independent coding, comparison with an expert-abstract corpus, or replication in other L2 contexts. The label should therefore be read as a hypothesis-generating observation, not as a confirmed phenomenon. Subsequent research with inter-rater coding, an expert-abstract comparison corpus, and replication across institutions and disciplines would be needed before the term could be treated as a stable construct. Within the present study, the label serves a heuristic purpose: it identifies a pattern worth investigating, not a finding that has been established.</w:t>
      </w:r>
    </w:p>
    <w:p>
      <w:pPr>
        <w:sectPr>
          <w:headerReference w:type="default" r:id="rId14"/>
          <w:headerReference w:type="first" r:id="rId15"/>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CONCLUSIONS AND RECOMMENDATIONS</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study investigated hedging patterns in 60 undergraduate thesis abstracts across Agriculture, Veterinary Medicine, and Biology at Pampanga State Agricultural University. The research gap addressed was the absence of empirical data on how Philippine L2 developing researchers in applied life sciences manage epistemic stance through hedging. The study was grounded in Hyland’s (1998) hedging framework, with Salager-Meyer’s (1994) claim-responsibility concept and Hyland’s (2005) stance model serving as interpretive lenses. The methodology employed corpus-assisted discourse analysis with manual coding of hedge type, frequency, and function.</w:t>
      </w:r>
    </w:p>
    <w:p>
      <w:pPr>
        <w:keepNext/>
        <w:keepLines/>
        <w:spacing w:before="240" w:after="240" w:line="480" w:lineRule="auto"/>
        <w:jc w:val="left"/>
      </w:pPr>
      <w:r>
        <w:rPr>
          <w:rFonts w:ascii="Georgia" w:hAnsi="Georgia" w:eastAsia="Georgia"/>
          <w:b/>
          <w:i w:val="0"/>
          <w:sz w:val="24"/>
        </w:rPr>
        <w:t>CONCLUSIONS</w:t>
      </w:r>
    </w:p>
    <w:p>
      <w:pPr>
        <w:spacing w:line="480" w:lineRule="auto" w:before="0" w:after="0"/>
        <w:ind w:firstLine="720"/>
        <w:jc w:val="both"/>
      </w:pPr>
      <w:r>
        <w:rPr>
          <w:rFonts w:ascii="Georgia" w:hAnsi="Georgia" w:eastAsia="Georgia"/>
          <w:b w:val="0"/>
          <w:i w:val="0"/>
          <w:sz w:val="22"/>
        </w:rPr>
        <w:t>Lexical hedges outnumber modal verbs in this corpus (60.0% vs 35.0%). That inverts the pattern in most prior studies of developing researchers, where modal verbs dominate (Khunasathitchai et al., 2025; Wang, 2022). The inversion is driven mainly by the token “potential,” which makes up 38.9% of all lexical hedges. Hedging here tends to appear in implications and applications rather than in the reporting of findings themselves.</w:t>
      </w:r>
    </w:p>
    <w:p>
      <w:pPr>
        <w:spacing w:line="480" w:lineRule="auto" w:before="0" w:after="0"/>
        <w:ind w:firstLine="720"/>
        <w:jc w:val="both"/>
      </w:pPr>
      <w:r>
        <w:rPr>
          <w:rFonts w:ascii="Georgia" w:hAnsi="Georgia" w:eastAsia="Georgia"/>
          <w:b w:val="0"/>
          <w:i w:val="0"/>
          <w:sz w:val="22"/>
        </w:rPr>
        <w:t>Hedge density varies across disciplines, though not as the literature would predict. Agriculture (0.60 per 100 words) hedges more than Biology (0.55). Veterinary Medicine sits far lower at 0.18. The pattern does not match Afshar et al. (2014), who found agriculture using the fewest hedges among comparable fields. The difference likely stems from the gap between expert research articles and undergraduate thesis abstracts, and from the specific epistemic demands of each field at PSAU. Veterinary Medicine’s low density is driven by a 65% zero-hedge rate. That absence of overt hedging may reflect the binary character of many clinical diagnostic outcomes.</w:t>
      </w:r>
    </w:p>
    <w:p>
      <w:pPr>
        <w:spacing w:line="480" w:lineRule="auto" w:before="0" w:after="0"/>
        <w:ind w:firstLine="720"/>
        <w:jc w:val="both"/>
      </w:pPr>
      <w:r>
        <w:rPr>
          <w:rFonts w:ascii="Georgia" w:hAnsi="Georgia" w:eastAsia="Georgia"/>
          <w:b w:val="0"/>
          <w:i w:val="0"/>
          <w:sz w:val="22"/>
        </w:rPr>
        <w:t>Every hedge in this corpus serves Epistemic Caution. No politeness or discourse-organization hedges appear. The narrow functional range may come from a restricted repertoire, from the compressed abstract genre, or from the coding scheme itself. The pattern fits earlier findings on developing L2 writers (Hyland &amp; Milton, 1997).</w:t>
      </w:r>
    </w:p>
    <w:p>
      <w:pPr>
        <w:spacing w:line="480" w:lineRule="auto" w:before="0" w:after="0"/>
        <w:ind w:firstLine="720"/>
        <w:jc w:val="both"/>
      </w:pPr>
      <w:r>
        <w:t>The discipline-specific patterns observed in this corpus suggest differences in epistemic stance, though the statistical evidence is borderline (Kruskal-Wallis p = .049) and the Agriculture-Biology contrast is outlier-dependent. The most defensible contrast is Veterinary Medicine's distinct pattern: its 65% zero-hedge rate and 0.18 density are substantially different from both Agriculture and Biology. Agriculture shows a tendency toward cautious implication, hedging applications while stating findings as settled, though this is partly driven by a single outlier abstract (Acs2). Biology shows lexical caution with heavy reliance on “potential” and “suggesting,” much of which is non-epistemic (topic-naming in aim statements). Veterinary Medicine shows assertive reporting, with over half of its abstracts containing zero hedges and the highest count of unhedged assertion sites. Where these patterns hold, they are consistent with Salager-Meyer's (1994) framework: each discipline may create distinct epistemic demands that shape how writers distribute claim responsibility, even at the undergraduate level. Generalization beyond this corpus, however, is not warranted.</w:t>
      </w:r>
    </w:p>
    <w:p>
      <w:pPr>
        <w:spacing w:line="480" w:lineRule="auto" w:before="0" w:after="0"/>
        <w:ind w:firstLine="720"/>
        <w:jc w:val="both"/>
      </w:pPr>
      <w:r>
        <w:rPr>
          <w:rFonts w:ascii="Georgia" w:hAnsi="Georgia" w:eastAsia="Georgia"/>
          <w:b w:val="0"/>
          <w:i w:val="0"/>
          <w:sz w:val="22"/>
        </w:rPr>
        <w:t>Nearly half the abstracts (46.7%) contain no hedges at all. That rate is far higher than the expert-writing literature would lead one to expect, where hedges are common in scientific abstracts (Hyland, 1998). The zero-hedge pattern may reflect a combination of factors: limited explicit instruction on hedging and a genre interpretation that treats the abstract as a space for factual reporting rather than claim management.</w:t>
      </w:r>
    </w:p>
    <w:p>
      <w:pPr>
        <w:spacing w:line="480" w:lineRule="auto" w:before="0" w:after="0"/>
        <w:ind w:firstLine="720"/>
        <w:jc w:val="both"/>
      </w:pPr>
      <w:r>
        <w:rPr>
          <w:rFonts w:ascii="Georgia" w:hAnsi="Georgia" w:eastAsia="Georgia"/>
          <w:b w:val="0"/>
          <w:i w:val="0"/>
          <w:sz w:val="22"/>
        </w:rPr>
        <w:t>When hedging does appear, it often looks like pro forma hedging: the lexical form without the epistemic work. “Potential” alone accounts for 38.9% of lexical hedges, every hedge is coded as Epistemic Caution, and the frames are formulaic. The pattern suggests that these writers acquire the shell of hedging without its function. Teaching more hedge vocabulary will not fix that. Instruction has to target function, not only form.</w:t>
      </w:r>
    </w:p>
    <w:p>
      <w:pPr>
        <w:keepNext/>
        <w:keepLines/>
        <w:spacing w:before="240" w:after="240" w:line="480" w:lineRule="auto"/>
        <w:jc w:val="left"/>
      </w:pPr>
      <w:r>
        <w:rPr>
          <w:rFonts w:ascii="Georgia" w:hAnsi="Georgia" w:eastAsia="Georgia"/>
          <w:b/>
          <w:i w:val="0"/>
          <w:sz w:val="24"/>
        </w:rPr>
        <w:t>RECOMMENDATIONS</w:t>
      </w:r>
    </w:p>
    <w:p>
      <w:pPr>
        <w:spacing w:line="480" w:lineRule="auto" w:before="0" w:after="0"/>
        <w:ind w:firstLine="720"/>
        <w:jc w:val="both"/>
      </w:pPr>
      <w:r>
        <w:rPr>
          <w:rFonts w:ascii="Georgia" w:hAnsi="Georgia" w:eastAsia="Georgia"/>
          <w:b w:val="0"/>
          <w:i w:val="0"/>
          <w:sz w:val="22"/>
        </w:rPr>
        <w:t>Thesis advisers at PSAU should integrate explicit hedging feedback into thesis supervision, particularly where zero-hedge rates are highest (as observed in the Veterinary Medicine sample). Supervision should move beyond generic advice to “be cautious” and instead provide discipline-specific examples of how hedging functions in each field’s abstract genre. The finding that hedging, when it appears, often takes the form of pro forma hedging (lexical acquisition without epistemic function) means that instruction must target the function of hedges, not just their form. Teaching more hedge vocabulary without teaching why and when to hedge is unlikely to address the pattern observed in this corpus. Concrete feedback strategies include pointing developing researchers to discipline-specific hedging examples in published abstracts, teaching them to distinguish topic-naming “potential” from epistemic “potential,” focusing revision feedback on Veterinary Medicine abstracts where zero-hedge rates are highest, and including a structured review of hedging in the abstract as a required revision step before final submission.</w:t>
      </w:r>
    </w:p>
    <w:p>
      <w:pPr>
        <w:spacing w:line="480" w:lineRule="auto" w:before="0" w:after="0"/>
        <w:ind w:firstLine="720"/>
        <w:jc w:val="both"/>
      </w:pPr>
      <w:r>
        <w:rPr>
          <w:rFonts w:ascii="Georgia" w:hAnsi="Georgia" w:eastAsia="Georgia"/>
          <w:b w:val="0"/>
          <w:i w:val="0"/>
          <w:sz w:val="22"/>
        </w:rPr>
        <w:t>Table 6 offers a provisional, data-informed checklist that advisers may use as a starting point during supervision. It maps the most frequent hedging patterns observed in this small corpus to possible revision focuses. Because the underlying counts are low and the statistical contrasts are borderline, the checklist should be treated as exploratory guidance rather than a firm diagnostic of each discipline.</w:t>
      </w:r>
    </w:p>
    <w:p>
      <w:pPr>
        <w:spacing w:before="240" w:after="0"/>
      </w:pPr>
      <w:r>
        <w:rPr>
          <w:rFonts w:ascii="Georgia" w:hAnsi="Georgia" w:eastAsia="Georgia"/>
          <w:b/>
          <w:i w:val="0"/>
          <w:sz w:val="22"/>
        </w:rPr>
        <w:t>Table 6</w:t>
      </w:r>
    </w:p>
    <w:p>
      <w:pPr>
        <w:spacing w:after="120"/>
      </w:pPr>
      <w:r>
        <w:rPr>
          <w:rFonts w:ascii="Georgia" w:hAnsi="Georgia" w:eastAsia="Georgia"/>
          <w:b w:val="0"/>
          <w:i/>
          <w:sz w:val="22"/>
        </w:rPr>
        <w:t>Discipline-Specific Abstract Revision Checklist for Thesis Advisers</w:t>
      </w:r>
    </w:p>
    <w:tbl>
      <w:tblPr>
        <w:tblStyle w:val="TableGrid"/>
        <w:tblW w:type="auto" w:w="0"/>
        <w:tblLayout w:type="autofit"/>
        <w:tblLook w:firstColumn="1" w:firstRow="1" w:lastColumn="0" w:lastRow="0" w:noHBand="0" w:noVBand="1" w:val="04A0"/>
      </w:tblPr>
      <w:tblGrid>
        <w:gridCol w:w="2769"/>
        <w:gridCol w:w="2769"/>
        <w:gridCol w:w="2769"/>
      </w:tblGrid>
      <w:tr>
        <w:tc>
          <w:tcPr>
            <w:tcW w:type="dxa" w:w="2769"/>
          </w:tcPr>
          <w:p>
            <w:r/>
            <w:r>
              <w:rPr>
                <w:rFonts w:ascii="Georgia" w:hAnsi="Georgia" w:eastAsia="Georgia"/>
                <w:b/>
                <w:i w:val="0"/>
                <w:sz w:val="20"/>
              </w:rPr>
              <w:t>Discipline</w:t>
            </w:r>
          </w:p>
        </w:tc>
        <w:tc>
          <w:tcPr>
            <w:tcW w:type="dxa" w:w="2769"/>
          </w:tcPr>
          <w:p>
            <w:r/>
            <w:r>
              <w:rPr>
                <w:rFonts w:ascii="Georgia" w:hAnsi="Georgia" w:eastAsia="Georgia"/>
                <w:b/>
                <w:i w:val="0"/>
                <w:sz w:val="20"/>
              </w:rPr>
              <w:t>Observed Pattern</w:t>
            </w:r>
          </w:p>
        </w:tc>
        <w:tc>
          <w:tcPr>
            <w:tcW w:type="dxa" w:w="2769"/>
          </w:tcPr>
          <w:p>
            <w:r/>
            <w:r>
              <w:rPr>
                <w:rFonts w:ascii="Georgia" w:hAnsi="Georgia" w:eastAsia="Georgia"/>
                <w:b/>
                <w:i w:val="0"/>
                <w:sz w:val="20"/>
              </w:rPr>
              <w:t>Possible Focus</w:t>
            </w:r>
          </w:p>
        </w:tc>
      </w:tr>
      <w:tr>
        <w:tc>
          <w:tcPr>
            <w:tcW w:type="dxa" w:w="2769"/>
          </w:tcPr>
          <w:p>
            <w:r/>
            <w:r>
              <w:rPr>
                <w:rFonts w:ascii="Georgia" w:hAnsi="Georgia" w:eastAsia="Georgia"/>
                <w:b w:val="0"/>
                <w:i w:val="0"/>
                <w:sz w:val="20"/>
              </w:rPr>
              <w:t>Veterinary Medicine</w:t>
            </w:r>
          </w:p>
        </w:tc>
        <w:tc>
          <w:tcPr>
            <w:tcW w:type="dxa" w:w="2769"/>
          </w:tcPr>
          <w:p>
            <w:r/>
            <w:r>
              <w:rPr>
                <w:rFonts w:ascii="Georgia" w:hAnsi="Georgia" w:eastAsia="Georgia"/>
                <w:b w:val="0"/>
                <w:i w:val="0"/>
                <w:sz w:val="20"/>
              </w:rPr>
              <w:t>High zero-hedge rate (65% of abstracts in this sample)</w:t>
            </w:r>
          </w:p>
        </w:tc>
        <w:tc>
          <w:tcPr>
            <w:tcW w:type="dxa" w:w="2769"/>
          </w:tcPr>
          <w:p>
            <w:r/>
            <w:r>
              <w:rPr>
                <w:rFonts w:ascii="Georgia" w:hAnsi="Georgia" w:eastAsia="Georgia"/>
                <w:b w:val="0"/>
                <w:i w:val="0"/>
                <w:sz w:val="20"/>
              </w:rPr>
              <w:t>Insert 1–2 modal verbs (may, could) or lexical hedges (suggests, indicates) in the Implication move</w:t>
            </w:r>
          </w:p>
        </w:tc>
      </w:tr>
      <w:tr>
        <w:tc>
          <w:tcPr>
            <w:tcW w:type="dxa" w:w="2769"/>
          </w:tcPr>
          <w:p>
            <w:r/>
            <w:r>
              <w:rPr>
                <w:rFonts w:ascii="Georgia" w:hAnsi="Georgia" w:eastAsia="Georgia"/>
                <w:b w:val="0"/>
                <w:i w:val="0"/>
                <w:sz w:val="20"/>
              </w:rPr>
              <w:t>Biology</w:t>
            </w:r>
          </w:p>
        </w:tc>
        <w:tc>
          <w:tcPr>
            <w:tcW w:type="dxa" w:w="2769"/>
          </w:tcPr>
          <w:p>
            <w:r/>
            <w:r>
              <w:rPr>
                <w:rFonts w:ascii="Georgia" w:hAnsi="Georgia" w:eastAsia="Georgia"/>
                <w:b w:val="0"/>
                <w:i w:val="0"/>
                <w:sz w:val="20"/>
              </w:rPr>
              <w:t>Frequent topic-naming “potential” in aim statements</w:t>
            </w:r>
          </w:p>
        </w:tc>
        <w:tc>
          <w:tcPr>
            <w:tcW w:type="dxa" w:w="2769"/>
          </w:tcPr>
          <w:p>
            <w:r/>
            <w:r>
              <w:rPr>
                <w:rFonts w:ascii="Georgia" w:hAnsi="Georgia" w:eastAsia="Georgia"/>
                <w:b w:val="0"/>
                <w:i w:val="0"/>
                <w:sz w:val="20"/>
              </w:rPr>
              <w:t>Distinguish aim-statement “potential” (topic-naming) from conclusion-statement “potential” (epistemic hedge)</w:t>
            </w:r>
          </w:p>
        </w:tc>
      </w:tr>
      <w:tr>
        <w:tc>
          <w:tcPr>
            <w:tcW w:type="dxa" w:w="2769"/>
          </w:tcPr>
          <w:p>
            <w:r/>
            <w:r>
              <w:rPr>
                <w:rFonts w:ascii="Georgia" w:hAnsi="Georgia" w:eastAsia="Georgia"/>
                <w:b w:val="0"/>
                <w:i w:val="0"/>
                <w:sz w:val="20"/>
              </w:rPr>
              <w:t>Agriculture</w:t>
            </w:r>
          </w:p>
        </w:tc>
        <w:tc>
          <w:tcPr>
            <w:tcW w:type="dxa" w:w="2769"/>
          </w:tcPr>
          <w:p>
            <w:r/>
            <w:r>
              <w:rPr>
                <w:rFonts w:ascii="Georgia" w:hAnsi="Georgia" w:eastAsia="Georgia"/>
                <w:b w:val="0"/>
                <w:i w:val="0"/>
                <w:sz w:val="20"/>
              </w:rPr>
              <w:t>Frequent “suggest” + “can” constructions</w:t>
            </w:r>
          </w:p>
        </w:tc>
        <w:tc>
          <w:tcPr>
            <w:tcW w:type="dxa" w:w="2769"/>
          </w:tcPr>
          <w:p>
            <w:r/>
            <w:r>
              <w:rPr>
                <w:rFonts w:ascii="Georgia" w:hAnsi="Georgia" w:eastAsia="Georgia"/>
                <w:b w:val="0"/>
                <w:i w:val="0"/>
                <w:sz w:val="20"/>
              </w:rPr>
              <w:t>Introduce adverbial hedges (generally, typically) and clause-level hedges (it appears that) for variety</w:t>
            </w:r>
          </w:p>
        </w:tc>
      </w:tr>
    </w:tbl>
    <w:p>
      <w:pPr>
        <w:spacing w:line="480" w:lineRule="auto" w:before="0" w:after="0"/>
        <w:ind w:firstLine="720"/>
        <w:jc w:val="both"/>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Future research should examine whether the disciplinary patterns observed in this study persist across multiple institutions and cohorts. A multi-institutional comparison involving other Philippine state universities would help determine whether the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p>
    <w:p>
      <w:pPr>
        <w:spacing w:line="480" w:lineRule="auto" w:before="0" w:after="0"/>
        <w:ind w:firstLine="720"/>
        <w:jc w:val="both"/>
      </w:pPr>
      <w:r>
        <w:rPr>
          <w:rFonts w:ascii="Georgia" w:hAnsi="Georgia" w:eastAsia="Georgia"/>
          <w:b w:val="0"/>
          <w:i w:val="0"/>
          <w:sz w:val="22"/>
        </w:rPr>
        <w:t>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p>
    <w:p>
      <w:pPr>
        <w:spacing w:line="480" w:lineRule="auto" w:before="0" w:after="0"/>
        <w:ind w:firstLine="720"/>
        <w:jc w:val="both"/>
      </w:pPr>
      <w:r>
        <w:rPr>
          <w:rFonts w:ascii="Georgia" w:hAnsi="Georgia" w:eastAsia="Georgia"/>
          <w:b w:val="0"/>
          <w:i w:val="0"/>
          <w:sz w:val="22"/>
        </w:rPr>
        <w:t>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this would support the binary-outcome interpretation. If VM advisers do not address hedging at all, this would support the awareness-deficit interpretation.</w:t>
      </w:r>
    </w:p>
    <w:p>
      <w:pPr>
        <w:spacing w:line="480" w:lineRule="auto" w:before="0" w:after="0"/>
        <w:ind w:firstLine="720"/>
        <w:jc w:val="both"/>
      </w:pPr>
      <w:r>
        <w:rPr>
          <w:rFonts w:ascii="Georgia" w:hAnsi="Georgia" w:eastAsia="Georgia"/>
          <w:b w:val="0"/>
          <w:i w:val="0"/>
          <w:sz w:val="22"/>
        </w:rPr>
        <w:t>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should examine boosters (e.g., clearly, demonstrated, confirmed) alongside hedges to provide a fuller picture of epistemic stance, since some abstracts in this corpus contain zero hedges but still make assertive claims that may involve booster language.</w:t>
      </w:r>
    </w:p>
    <w:p>
      <w:pPr>
        <w:sectPr>
          <w:headerReference w:type="default" r:id="rId16"/>
          <w:headerReference w:type="first" r:id="rId17"/>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REFERENCES</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line="480" w:lineRule="auto" w:before="0" w:after="0"/>
        <w:ind w:left="720" w:hanging="720"/>
        <w:jc w:val="left"/>
      </w:pPr>
      <w:r>
        <w:rPr>
          <w:rFonts w:ascii="Georgia" w:hAnsi="Georgia" w:eastAsia="Georgia"/>
          <w:b w:val="0"/>
          <w:i w:val="0"/>
          <w:sz w:val="22"/>
        </w:rPr>
        <w:t xml:space="preserve">Afshar, H. S., Moradi, M., &amp; Hamzavi, R. (2014). Frequency and type of hedging devices used in the research articles of humanities, basic sciences and agriculture. </w:t>
      </w:r>
      <w:r>
        <w:rPr>
          <w:rFonts w:ascii="Georgia" w:hAnsi="Georgia" w:eastAsia="Georgia"/>
          <w:b w:val="0"/>
          <w:i/>
          <w:sz w:val="22"/>
        </w:rPr>
        <w:t>Procedia – Social and Behavioral Sciences, 136</w:t>
      </w:r>
      <w:r>
        <w:rPr>
          <w:rFonts w:ascii="Georgia" w:hAnsi="Georgia" w:eastAsia="Georgia"/>
          <w:b w:val="0"/>
          <w:i w:val="0"/>
          <w:sz w:val="22"/>
        </w:rPr>
        <w:t>, 70–74. https://doi.org/10.1016/j.sbspro.2014.05.290</w:t>
      </w:r>
    </w:p>
    <w:p>
      <w:pPr>
        <w:spacing w:line="480" w:lineRule="auto" w:before="0" w:after="0"/>
        <w:ind w:left="720" w:hanging="720"/>
        <w:jc w:val="left"/>
      </w:pPr>
      <w:r>
        <w:rPr>
          <w:rFonts w:ascii="Georgia" w:hAnsi="Georgia" w:eastAsia="Georgia"/>
          <w:b w:val="0"/>
          <w:i w:val="0"/>
          <w:sz w:val="22"/>
        </w:rPr>
        <w:t xml:space="preserve">Biber, D., Conrad, S., &amp; Reppen, R. (1998). </w:t>
      </w:r>
      <w:r>
        <w:rPr>
          <w:rFonts w:ascii="Georgia" w:hAnsi="Georgia" w:eastAsia="Georgia"/>
          <w:b w:val="0"/>
          <w:i/>
          <w:sz w:val="22"/>
        </w:rPr>
        <w:t>Corpus linguistics: Investigating language structure and use</w:t>
      </w:r>
      <w:r>
        <w:rPr>
          <w:rFonts w:ascii="Georgia" w:hAnsi="Georgia" w:eastAsia="Georgia"/>
          <w:b w:val="0"/>
          <w:i w:val="0"/>
          <w:sz w:val="22"/>
        </w:rPr>
        <w:t>. Cambridge University Press.</w:t>
      </w:r>
    </w:p>
    <w:p>
      <w:pPr>
        <w:spacing w:line="480" w:lineRule="auto" w:before="0" w:after="0"/>
        <w:ind w:left="720" w:hanging="720"/>
        <w:jc w:val="left"/>
      </w:pPr>
      <w:r>
        <w:rPr>
          <w:rFonts w:ascii="Georgia" w:hAnsi="Georgia" w:eastAsia="Georgia"/>
          <w:b w:val="0"/>
          <w:i w:val="0"/>
          <w:sz w:val="22"/>
        </w:rPr>
        <w:t xml:space="preserve">Demir, C. (2018). Hedging and academic writing: An analysis of lexical hedges. </w:t>
      </w:r>
      <w:r>
        <w:rPr>
          <w:rFonts w:ascii="Georgia" w:hAnsi="Georgia" w:eastAsia="Georgia"/>
          <w:b w:val="0"/>
          <w:i/>
          <w:sz w:val="22"/>
        </w:rPr>
        <w:t>Journal of Language and Linguistic Studies, 14</w:t>
      </w:r>
      <w:r>
        <w:rPr>
          <w:rFonts w:ascii="Georgia" w:hAnsi="Georgia" w:eastAsia="Georgia"/>
          <w:b w:val="0"/>
          <w:i w:val="0"/>
          <w:sz w:val="22"/>
        </w:rPr>
        <w:t>(4), 74–92. https://files.eric.ed.gov/fulltext/EJ1201945.pdf</w:t>
      </w:r>
    </w:p>
    <w:p>
      <w:pPr>
        <w:spacing w:line="480" w:lineRule="auto" w:before="0" w:after="0"/>
        <w:ind w:left="720" w:hanging="720"/>
        <w:jc w:val="left"/>
      </w:pPr>
      <w:r>
        <w:rPr>
          <w:rFonts w:ascii="Georgia" w:hAnsi="Georgia" w:eastAsia="Georgia"/>
          <w:b w:val="0"/>
          <w:i w:val="0"/>
          <w:sz w:val="22"/>
        </w:rPr>
        <w:t xml:space="preserve">Escalona, S. L. (2025). Hedges and boosters in college essays: A study of linguistic modulation in student writing. </w:t>
      </w:r>
      <w:r>
        <w:rPr>
          <w:rFonts w:ascii="Georgia" w:hAnsi="Georgia" w:eastAsia="Georgia"/>
          <w:b w:val="0"/>
          <w:i/>
          <w:sz w:val="22"/>
        </w:rPr>
        <w:t>International Journal of English Literature and Social Sciences, 10</w:t>
      </w:r>
      <w:r>
        <w:rPr>
          <w:rFonts w:ascii="Georgia" w:hAnsi="Georgia" w:eastAsia="Georgia"/>
          <w:b w:val="0"/>
          <w:i w:val="0"/>
          <w:sz w:val="22"/>
        </w:rPr>
        <w:t>(1), 7–17. https://doi.org/10.22161/ijels.101.2</w:t>
      </w:r>
    </w:p>
    <w:p>
      <w:pPr>
        <w:spacing w:line="480" w:lineRule="auto" w:before="0" w:after="0"/>
        <w:ind w:left="720" w:hanging="720"/>
        <w:jc w:val="left"/>
      </w:pPr>
      <w:r>
        <w:rPr>
          <w:rFonts w:ascii="Georgia" w:hAnsi="Georgia" w:eastAsia="Georgia"/>
          <w:b w:val="0"/>
          <w:i w:val="0"/>
          <w:sz w:val="22"/>
        </w:rPr>
        <w:t xml:space="preserve">Hamidi, H., Najafi Sarem, S., &amp; Lotfi, A. H. (2025). Exploring hedging devices in scientific research papers: A content analysis study of the “Medical Journal of the Islamic Republic of Iran.” </w:t>
      </w:r>
      <w:r>
        <w:rPr>
          <w:rFonts w:ascii="Georgia" w:hAnsi="Georgia" w:eastAsia="Georgia"/>
          <w:b w:val="0"/>
          <w:i/>
          <w:sz w:val="22"/>
        </w:rPr>
        <w:t>Medical Journal of the Islamic Republic of Iran, 39</w:t>
      </w:r>
      <w:r>
        <w:rPr>
          <w:rFonts w:ascii="Georgia" w:hAnsi="Georgia" w:eastAsia="Georgia"/>
          <w:b w:val="0"/>
          <w:i w:val="0"/>
          <w:sz w:val="22"/>
        </w:rPr>
        <w:t>, 125. https://pmc.ncbi.nlm.nih.gov/articles/PMC12584097/</w:t>
      </w:r>
    </w:p>
    <w:p>
      <w:pPr>
        <w:spacing w:line="480" w:lineRule="auto" w:before="0" w:after="0"/>
        <w:ind w:left="720" w:hanging="720"/>
        <w:jc w:val="left"/>
      </w:pPr>
      <w:r>
        <w:rPr>
          <w:rFonts w:ascii="Georgia" w:hAnsi="Georgia" w:eastAsia="Georgia"/>
          <w:b w:val="0"/>
          <w:i w:val="0"/>
          <w:sz w:val="22"/>
        </w:rPr>
        <w:t xml:space="preserve">Hyland, K. (1998). </w:t>
      </w:r>
      <w:r>
        <w:rPr>
          <w:rFonts w:ascii="Georgia" w:hAnsi="Georgia" w:eastAsia="Georgia"/>
          <w:b w:val="0"/>
          <w:i/>
          <w:sz w:val="22"/>
        </w:rPr>
        <w:t>Hedging in scientific research articles</w:t>
      </w:r>
      <w:r>
        <w:rPr>
          <w:rFonts w:ascii="Georgia" w:hAnsi="Georgia" w:eastAsia="Georgia"/>
          <w:b w:val="0"/>
          <w:i w:val="0"/>
          <w:sz w:val="22"/>
        </w:rPr>
        <w:t>. John Benjamins Publishing.</w:t>
      </w:r>
    </w:p>
    <w:p>
      <w:pPr>
        <w:spacing w:line="480" w:lineRule="auto" w:before="0" w:after="0"/>
        <w:ind w:left="720" w:hanging="720"/>
        <w:jc w:val="left"/>
      </w:pPr>
      <w:r>
        <w:rPr>
          <w:rFonts w:ascii="Georgia" w:hAnsi="Georgia" w:eastAsia="Georgia"/>
          <w:b w:val="0"/>
          <w:i w:val="0"/>
          <w:sz w:val="22"/>
        </w:rPr>
        <w:t xml:space="preserve">Hyland, K. (2005). Stance and engagement: A model of interaction in academic discourse. </w:t>
      </w:r>
      <w:r>
        <w:rPr>
          <w:rFonts w:ascii="Georgia" w:hAnsi="Georgia" w:eastAsia="Georgia"/>
          <w:b w:val="0"/>
          <w:i/>
          <w:sz w:val="22"/>
        </w:rPr>
        <w:t>Discourse Studies, 7</w:t>
      </w:r>
      <w:r>
        <w:rPr>
          <w:rFonts w:ascii="Georgia" w:hAnsi="Georgia" w:eastAsia="Georgia"/>
          <w:b w:val="0"/>
          <w:i w:val="0"/>
          <w:sz w:val="22"/>
        </w:rPr>
        <w:t>(2), 173–192. https://doi.org/10.1177/1461445605050365</w:t>
      </w:r>
    </w:p>
    <w:p>
      <w:pPr>
        <w:spacing w:line="480" w:lineRule="auto" w:before="0" w:after="0"/>
        <w:ind w:left="720" w:hanging="720"/>
        <w:jc w:val="left"/>
      </w:pPr>
      <w:r>
        <w:rPr>
          <w:rFonts w:ascii="Georgia" w:hAnsi="Georgia" w:eastAsia="Georgia"/>
          <w:b w:val="0"/>
          <w:i w:val="0"/>
          <w:sz w:val="22"/>
        </w:rPr>
        <w:t xml:space="preserve">Hyland, K., &amp; Milton, J. (1997). Qualification and certainty in L1 and L2 students’ writing. </w:t>
      </w:r>
      <w:r>
        <w:rPr>
          <w:rFonts w:ascii="Georgia" w:hAnsi="Georgia" w:eastAsia="Georgia"/>
          <w:b w:val="0"/>
          <w:i/>
          <w:sz w:val="22"/>
        </w:rPr>
        <w:t>Journal of Second Language Writing, 6</w:t>
      </w:r>
      <w:r>
        <w:rPr>
          <w:rFonts w:ascii="Georgia" w:hAnsi="Georgia" w:eastAsia="Georgia"/>
          <w:b w:val="0"/>
          <w:i w:val="0"/>
          <w:sz w:val="22"/>
        </w:rPr>
        <w:t>(2), 183–205. https://doi.org/10.1016/S1060-3743(97)90033-3</w:t>
      </w:r>
    </w:p>
    <w:p>
      <w:pPr>
        <w:spacing w:line="480" w:lineRule="auto" w:before="0" w:after="0"/>
        <w:ind w:left="720" w:hanging="720"/>
        <w:jc w:val="left"/>
      </w:pPr>
      <w:r>
        <w:rPr>
          <w:rFonts w:ascii="Georgia" w:hAnsi="Georgia" w:eastAsia="Georgia"/>
          <w:b w:val="0"/>
          <w:i w:val="0"/>
          <w:sz w:val="22"/>
        </w:rPr>
        <w:t xml:space="preserve">Imataki, N., &amp; Kobayashi, Y. (2024). Analyzing disciplinary variation in abstracts: Linguistic features across scientific and technical fields. </w:t>
      </w:r>
      <w:r>
        <w:rPr>
          <w:rFonts w:ascii="Georgia" w:hAnsi="Georgia" w:eastAsia="Georgia"/>
          <w:b w:val="0"/>
          <w:i/>
          <w:sz w:val="22"/>
        </w:rPr>
        <w:t>Linguistics and Literature Studies, 12</w:t>
      </w:r>
      <w:r>
        <w:rPr>
          <w:rFonts w:ascii="Georgia" w:hAnsi="Georgia" w:eastAsia="Georgia"/>
          <w:b w:val="0"/>
          <w:i w:val="0"/>
          <w:sz w:val="22"/>
        </w:rPr>
        <w:t>(3), 19–28. https://doi.org/10.13189/lls.2024.120301</w:t>
      </w:r>
    </w:p>
    <w:p>
      <w:pPr>
        <w:spacing w:line="480" w:lineRule="auto" w:before="0" w:after="0"/>
        <w:ind w:left="720" w:hanging="720"/>
        <w:jc w:val="left"/>
      </w:pPr>
      <w:r>
        <w:rPr>
          <w:rFonts w:ascii="Georgia" w:hAnsi="Georgia" w:eastAsia="Georgia"/>
          <w:b w:val="0"/>
          <w:i w:val="0"/>
          <w:sz w:val="22"/>
        </w:rPr>
        <w:t xml:space="preserve">Khunasathitchai, K., Sittironnarit, S., Sinturat, T., &amp; Kumdee, S. (2025). Move analysis and hedge use in the research paper abstracts of Thai EFL English-majored undergraduates. </w:t>
      </w:r>
      <w:r>
        <w:rPr>
          <w:rFonts w:ascii="Georgia" w:hAnsi="Georgia" w:eastAsia="Georgia"/>
          <w:b w:val="0"/>
          <w:i/>
          <w:sz w:val="22"/>
        </w:rPr>
        <w:t>rEFLections, 32</w:t>
      </w:r>
      <w:r>
        <w:rPr>
          <w:rFonts w:ascii="Georgia" w:hAnsi="Georgia" w:eastAsia="Georgia"/>
          <w:b w:val="0"/>
          <w:i w:val="0"/>
          <w:sz w:val="22"/>
        </w:rPr>
        <w:t>(2), 951–970.</w:t>
      </w:r>
    </w:p>
    <w:p>
      <w:pPr>
        <w:spacing w:line="480" w:lineRule="auto" w:before="0" w:after="0"/>
        <w:ind w:left="720" w:hanging="720"/>
        <w:jc w:val="left"/>
      </w:pPr>
      <w:r>
        <w:rPr>
          <w:rFonts w:ascii="Georgia" w:hAnsi="Georgia" w:eastAsia="Georgia"/>
          <w:b w:val="0"/>
          <w:i w:val="0"/>
          <w:sz w:val="22"/>
        </w:rPr>
        <w:t xml:space="preserve">Lopez, R. M. C., Pedida, J. A., Alzate, L. J. A., &amp; Eustaquio, M. T. L. (2025). Language of caution and certainty: Writing proficiency in hedges and boosters in student essays. </w:t>
      </w:r>
      <w:r>
        <w:rPr>
          <w:rFonts w:ascii="Georgia" w:hAnsi="Georgia" w:eastAsia="Georgia"/>
          <w:b w:val="0"/>
          <w:i/>
          <w:sz w:val="22"/>
        </w:rPr>
        <w:t>International Journal of Research and Innovation in Social Science, 9</w:t>
      </w:r>
      <w:r>
        <w:rPr>
          <w:rFonts w:ascii="Georgia" w:hAnsi="Georgia" w:eastAsia="Georgia"/>
          <w:b w:val="0"/>
          <w:i w:val="0"/>
          <w:sz w:val="22"/>
        </w:rPr>
        <w:t>(11), 6176–6196. https://doi.org/10.47772/IJRISS.2025.91100485</w:t>
      </w:r>
    </w:p>
    <w:p>
      <w:pPr>
        <w:spacing w:line="480" w:lineRule="auto" w:before="0" w:after="0"/>
        <w:ind w:left="720" w:hanging="720"/>
        <w:jc w:val="left"/>
      </w:pPr>
      <w:r>
        <w:rPr>
          <w:rFonts w:ascii="Georgia" w:hAnsi="Georgia" w:eastAsia="Georgia"/>
          <w:b w:val="0"/>
          <w:i w:val="0"/>
          <w:sz w:val="22"/>
        </w:rPr>
        <w:t xml:space="preserve">Mohammed, S. J. (2011). </w:t>
      </w:r>
      <w:r>
        <w:rPr>
          <w:rFonts w:ascii="Georgia" w:hAnsi="Georgia" w:eastAsia="Georgia"/>
          <w:b w:val="0"/>
          <w:i/>
          <w:sz w:val="22"/>
        </w:rPr>
        <w:t>Lexical hedges: A study of cultural and disciplinary variation in academic research articles</w:t>
      </w:r>
      <w:r>
        <w:rPr>
          <w:rFonts w:ascii="Georgia" w:hAnsi="Georgia" w:eastAsia="Georgia"/>
          <w:b w:val="0"/>
          <w:i w:val="0"/>
          <w:sz w:val="22"/>
        </w:rPr>
        <w:t xml:space="preserve"> [Master’s thesis, Universiti Teknologi MARA]. CORE. https://core.ac.uk/download/78277430.pdf</w:t>
      </w:r>
    </w:p>
    <w:p>
      <w:pPr>
        <w:spacing w:line="480" w:lineRule="auto" w:before="0" w:after="0"/>
        <w:ind w:left="720" w:hanging="720"/>
        <w:jc w:val="left"/>
      </w:pPr>
      <w:r>
        <w:rPr>
          <w:rFonts w:ascii="Georgia" w:hAnsi="Georgia" w:eastAsia="Georgia"/>
          <w:b w:val="0"/>
          <w:i w:val="0"/>
          <w:sz w:val="22"/>
        </w:rPr>
        <w:t xml:space="preserve">Ningrum, S., Puspita, H., &amp; Mulyadi, A. I. (2024). Hedges and boosters in academic writing of ASEAN EFL learners. </w:t>
      </w:r>
      <w:r>
        <w:rPr>
          <w:rFonts w:ascii="Georgia" w:hAnsi="Georgia" w:eastAsia="Georgia"/>
          <w:b w:val="0"/>
          <w:i/>
          <w:sz w:val="22"/>
        </w:rPr>
        <w:t>Journal of English Education and Teaching, 8</w:t>
      </w:r>
      <w:r>
        <w:rPr>
          <w:rFonts w:ascii="Georgia" w:hAnsi="Georgia" w:eastAsia="Georgia"/>
          <w:b w:val="0"/>
          <w:i w:val="0"/>
          <w:sz w:val="22"/>
        </w:rPr>
        <w:t>(1), 202–218. https://doi.org/10.33369/jeet.8.1.202-218</w:t>
      </w:r>
    </w:p>
    <w:p>
      <w:pPr>
        <w:spacing w:line="480" w:lineRule="auto" w:before="0" w:after="0"/>
        <w:ind w:left="720" w:hanging="720"/>
        <w:jc w:val="left"/>
      </w:pPr>
      <w:r>
        <w:rPr>
          <w:rFonts w:ascii="Georgia" w:hAnsi="Georgia" w:eastAsia="Georgia"/>
          <w:b w:val="0"/>
          <w:i w:val="0"/>
          <w:sz w:val="22"/>
        </w:rPr>
        <w:t xml:space="preserve">Petchkij, W. (2019). Explicit teaching of hedges: Bringing hedging in academic writing into the Thai EFL classroom. </w:t>
      </w:r>
      <w:r>
        <w:rPr>
          <w:rFonts w:ascii="Georgia" w:hAnsi="Georgia" w:eastAsia="Georgia"/>
          <w:b w:val="0"/>
          <w:i/>
          <w:sz w:val="22"/>
        </w:rPr>
        <w:t>Electronic Journal of Foreign Language Teaching, 16(1), 95–113. https://e-flt.nus.edu.sg/wp-content/uploads/2020/09/petchkij.pdf</w:t>
      </w:r>
      <w:r>
        <w:rPr>
          <w:rFonts w:ascii="Georgia" w:hAnsi="Georgia" w:eastAsia="Georgia"/>
          <w:b w:val="0"/>
          <w:i w:val="0"/>
          <w:sz w:val="22"/>
        </w:rPr>
        <w:t/>
      </w:r>
    </w:p>
    <w:p>
      <w:pPr>
        <w:spacing w:line="480" w:lineRule="auto" w:before="0" w:after="0"/>
        <w:ind w:left="720" w:hanging="720"/>
        <w:jc w:val="left"/>
      </w:pPr>
      <w:r>
        <w:rPr>
          <w:rFonts w:ascii="Georgia" w:hAnsi="Georgia" w:eastAsia="Georgia"/>
          <w:b w:val="0"/>
          <w:i w:val="0"/>
          <w:sz w:val="22"/>
        </w:rPr>
        <w:t xml:space="preserve">Salager-Meyer, F. (1994). Hedges and textual communicative function in medical English written discourse. </w:t>
      </w:r>
      <w:r>
        <w:rPr>
          <w:rFonts w:ascii="Georgia" w:hAnsi="Georgia" w:eastAsia="Georgia"/>
          <w:b w:val="0"/>
          <w:i/>
          <w:sz w:val="22"/>
        </w:rPr>
        <w:t>English for Specific Purposes, 13</w:t>
      </w:r>
      <w:r>
        <w:rPr>
          <w:rFonts w:ascii="Georgia" w:hAnsi="Georgia" w:eastAsia="Georgia"/>
          <w:b w:val="0"/>
          <w:i w:val="0"/>
          <w:sz w:val="22"/>
        </w:rPr>
        <w:t>(2), 149–170. https://doi.org/10.1016/0889-4906(94)90013-2</w:t>
      </w:r>
    </w:p>
    <w:p>
      <w:pPr>
        <w:spacing w:line="480" w:lineRule="auto" w:before="0" w:after="0"/>
        <w:ind w:left="720" w:hanging="720"/>
        <w:jc w:val="left"/>
      </w:pPr>
      <w:r>
        <w:rPr>
          <w:rFonts w:ascii="Georgia" w:hAnsi="Georgia" w:eastAsia="Georgia"/>
          <w:b w:val="0"/>
          <w:i w:val="0"/>
          <w:sz w:val="22"/>
        </w:rPr>
        <w:t xml:space="preserve">Suratno, A., &amp; Aydawati, E. N. (2025). Hedging strategies in non-science theses: A corpus-based analysis of discussion sections. </w:t>
      </w:r>
      <w:r>
        <w:rPr>
          <w:rFonts w:ascii="Georgia" w:hAnsi="Georgia" w:eastAsia="Georgia"/>
          <w:b w:val="0"/>
          <w:i/>
          <w:sz w:val="22"/>
        </w:rPr>
        <w:t>ETERNAL (English Teaching Journal), 16</w:t>
      </w:r>
      <w:r>
        <w:rPr>
          <w:rFonts w:ascii="Georgia" w:hAnsi="Georgia" w:eastAsia="Georgia"/>
          <w:b w:val="0"/>
          <w:i w:val="0"/>
          <w:sz w:val="22"/>
        </w:rPr>
        <w:t>(1), 37–52. https://journal2.upgris.ac.id/index.php/eternal/article/view/1059</w:t>
      </w:r>
    </w:p>
    <w:p>
      <w:pPr>
        <w:spacing w:line="480" w:lineRule="auto" w:before="0" w:after="0"/>
        <w:ind w:left="720" w:hanging="720"/>
        <w:jc w:val="left"/>
      </w:pPr>
      <w:r>
        <w:rPr>
          <w:rFonts w:ascii="Georgia" w:hAnsi="Georgia" w:eastAsia="Georgia"/>
          <w:b w:val="0"/>
          <w:i w:val="0"/>
          <w:sz w:val="22"/>
        </w:rPr>
        <w:t xml:space="preserve">Villanueva, V. S. (2014). Hedging devices in Philippine newspaper editorials. </w:t>
      </w:r>
      <w:r>
        <w:rPr>
          <w:rFonts w:ascii="Georgia" w:hAnsi="Georgia" w:eastAsia="Georgia"/>
          <w:b w:val="0"/>
          <w:i/>
          <w:sz w:val="22"/>
        </w:rPr>
        <w:t>Asian Journal of English Language Studies, 2</w:t>
      </w:r>
      <w:r>
        <w:rPr>
          <w:rFonts w:ascii="Georgia" w:hAnsi="Georgia" w:eastAsia="Georgia"/>
          <w:b w:val="0"/>
          <w:i w:val="0"/>
          <w:sz w:val="22"/>
        </w:rPr>
        <w:t>, 103–117. https://doi.org/10.59960/2.a5</w:t>
      </w:r>
    </w:p>
    <w:p>
      <w:pPr>
        <w:spacing w:line="480" w:lineRule="auto" w:before="0" w:after="0"/>
        <w:ind w:left="720" w:hanging="720"/>
        <w:jc w:val="left"/>
      </w:pPr>
      <w:r>
        <w:rPr>
          <w:rFonts w:ascii="Georgia" w:hAnsi="Georgia" w:eastAsia="Georgia"/>
          <w:b w:val="0"/>
          <w:i w:val="0"/>
          <w:sz w:val="22"/>
        </w:rPr>
        <w:t xml:space="preserve">Wang, X. (2022). </w:t>
      </w:r>
      <w:r>
        <w:rPr>
          <w:rFonts w:ascii="Georgia" w:hAnsi="Georgia" w:eastAsia="Georgia"/>
          <w:b w:val="0"/>
          <w:i/>
          <w:sz w:val="22"/>
        </w:rPr>
        <w:t>Hedging in academic writing: Cross-disciplinary comparisons in the Michigan Corpus of Upper-Level Student Papers (MICUSP)</w:t>
      </w:r>
      <w:r>
        <w:rPr>
          <w:rFonts w:ascii="Georgia" w:hAnsi="Georgia" w:eastAsia="Georgia"/>
          <w:b w:val="0"/>
          <w:i w:val="0"/>
          <w:sz w:val="22"/>
        </w:rPr>
        <w:t xml:space="preserve"> [Preprint]. OSF Preprints. https://osf.io/preprints/edarxiv/5xj27</w:t>
      </w:r>
    </w:p>
    <w:p>
      <w:pPr>
        <w:sectPr>
          <w:headerReference w:type="default" r:id="rId18"/>
          <w:headerReference w:type="first" r:id="rId19"/>
          <w:pgSz w:w="11906" w:h="16838"/>
          <w:pgMar w:top="1440" w:right="1440" w:bottom="1440" w:left="2160" w:header="720" w:footer="720" w:gutter="0"/>
          <w:cols w:space="720"/>
          <w:titlePg/>
          <w:docGrid w:linePitch="360"/>
        </w:sectPr>
      </w:pP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keepNext/>
        <w:keepLines/>
        <w:spacing w:before="0" w:after="0" w:line="480" w:lineRule="auto"/>
        <w:jc w:val="center"/>
      </w:pPr>
      <w:r>
        <w:rPr>
          <w:rFonts w:ascii="Georgia" w:hAnsi="Georgia" w:eastAsia="Georgia"/>
          <w:b/>
          <w:i w:val="0"/>
          <w:sz w:val="28"/>
        </w:rPr>
        <w:t>APPENDICES</w:t>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after="0" w:before="0"/>
      </w:pPr>
      <w:r>
        <w:rPr>
          <w:rFonts w:ascii="Georgia" w:hAnsi="Georgia" w:eastAsia="Georgia"/>
          <w:b w:val="0"/>
          <w:i w:val="0"/>
          <w:sz w:val="22"/>
        </w:rPr>
      </w:r>
    </w:p>
    <w:p>
      <w:pPr>
        <w:spacing w:before="0" w:after="0" w:line="480" w:lineRule="auto"/>
        <w:jc w:val="center"/>
      </w:pPr>
      <w:r>
        <w:rPr>
          <w:rFonts w:ascii="Georgia" w:hAnsi="Georgia" w:eastAsia="Georgia"/>
          <w:b/>
          <w:i w:val="0"/>
          <w:sz w:val="28"/>
        </w:rPr>
        <w:t>APPENDIX A: CODING KEY FOR HEDGE IDENTIFICATION</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A coding key based on Hyland’s (1998) framework was developed to classify hedges by type and function. All coding is context-sensitive. Devices are classified based on their function in the sentence in which they appear, not on their presence in isolation.</w:t>
      </w:r>
    </w:p>
    <w:p>
      <w:pPr>
        <w:keepNext/>
        <w:keepLines/>
        <w:spacing w:before="240" w:after="240" w:line="480" w:lineRule="auto"/>
        <w:jc w:val="left"/>
      </w:pPr>
      <w:r>
        <w:rPr>
          <w:rFonts w:ascii="Georgia" w:hAnsi="Georgia" w:eastAsia="Georgia"/>
          <w:b w:val="0"/>
          <w:i/>
          <w:sz w:val="24"/>
        </w:rPr>
        <w:t>Hedge Types</w:t>
      </w:r>
    </w:p>
    <w:p>
      <w:pPr>
        <w:spacing w:line="480" w:lineRule="auto" w:before="0" w:after="0"/>
        <w:jc w:val="both"/>
      </w:pPr>
      <w:r>
        <w:rPr>
          <w:rFonts w:ascii="Georgia" w:hAnsi="Georgia" w:eastAsia="Georgia"/>
          <w:b w:val="0"/>
          <w:i w:val="0"/>
          <w:sz w:val="22"/>
        </w:rPr>
        <w:t>1. Modal Verbs: may, might, could, would, should, can</w:t>
      </w:r>
    </w:p>
    <w:p>
      <w:pPr>
        <w:spacing w:line="480" w:lineRule="auto" w:before="0" w:after="0"/>
        <w:jc w:val="both"/>
      </w:pPr>
      <w:r>
        <w:rPr>
          <w:rFonts w:ascii="Georgia" w:hAnsi="Georgia" w:eastAsia="Georgia"/>
          <w:b w:val="0"/>
          <w:i w:val="0"/>
          <w:sz w:val="22"/>
        </w:rPr>
        <w:t>2. Lexical Verbs and Adjectives: suggest, indicate, appear, seem, propose, assume, possible, probable, likely. Other epistemic adjectives (e.g., potential, conceivable, tentative) are also coded as lexical hedges if they qualify the certainty of a claim and pass the working test.</w:t>
      </w:r>
    </w:p>
    <w:p>
      <w:pPr>
        <w:spacing w:line="480" w:lineRule="auto" w:before="0" w:after="0"/>
        <w:jc w:val="both"/>
      </w:pPr>
      <w:r>
        <w:rPr>
          <w:rFonts w:ascii="Georgia" w:hAnsi="Georgia" w:eastAsia="Georgia"/>
          <w:b w:val="0"/>
          <w:i w:val="0"/>
          <w:sz w:val="22"/>
        </w:rPr>
        <w:t>3. Adverbial Hedges: generally, typically, possibly, probably, relatively, essentially</w:t>
      </w:r>
    </w:p>
    <w:p>
      <w:pPr>
        <w:spacing w:line="480" w:lineRule="auto" w:before="0" w:after="0"/>
        <w:jc w:val="both"/>
      </w:pPr>
      <w:r>
        <w:rPr>
          <w:rFonts w:ascii="Georgia" w:hAnsi="Georgia" w:eastAsia="Georgia"/>
          <w:b w:val="0"/>
          <w:i w:val="0"/>
          <w:sz w:val="22"/>
        </w:rPr>
        <w:t>4. Clause-Level Hedges: it seems that, it is possible that, to some extent, in our view</w:t>
      </w:r>
    </w:p>
    <w:p>
      <w:pPr>
        <w:keepNext/>
        <w:keepLines/>
        <w:spacing w:before="240" w:after="240" w:line="480" w:lineRule="auto"/>
        <w:jc w:val="left"/>
      </w:pPr>
      <w:r>
        <w:rPr>
          <w:rFonts w:ascii="Georgia" w:hAnsi="Georgia" w:eastAsia="Georgia"/>
          <w:b w:val="0"/>
          <w:i/>
          <w:sz w:val="24"/>
        </w:rPr>
        <w:t>Hedge Functions</w:t>
      </w:r>
    </w:p>
    <w:p>
      <w:pPr>
        <w:spacing w:line="480" w:lineRule="auto" w:before="0" w:after="0"/>
        <w:ind w:firstLine="720"/>
        <w:jc w:val="both"/>
      </w:pPr>
      <w:r>
        <w:rPr>
          <w:rFonts w:ascii="Georgia" w:hAnsi="Georgia" w:eastAsia="Georgia"/>
          <w:b/>
          <w:i w:val="0"/>
          <w:sz w:val="22"/>
        </w:rPr>
        <w:t xml:space="preserve">Epistemic Caution: </w:t>
      </w:r>
      <w:r>
        <w:rPr>
          <w:rFonts w:ascii="Georgia" w:hAnsi="Georgia" w:eastAsia="Georgia"/>
          <w:b w:val="0"/>
          <w:i w:val="0"/>
          <w:sz w:val="22"/>
        </w:rPr>
        <w:t>Expresses uncertainty about the truth or accuracy of a claim (e.g., The treatment may reduce infection rates).</w:t>
      </w:r>
    </w:p>
    <w:p>
      <w:pPr>
        <w:spacing w:line="480" w:lineRule="auto" w:before="0" w:after="0"/>
        <w:ind w:firstLine="720"/>
        <w:jc w:val="both"/>
      </w:pPr>
      <w:r>
        <w:rPr>
          <w:rFonts w:ascii="Georgia" w:hAnsi="Georgia" w:eastAsia="Georgia"/>
          <w:b/>
          <w:i w:val="0"/>
          <w:sz w:val="22"/>
        </w:rPr>
        <w:t xml:space="preserve">Politeness/Deference: </w:t>
      </w:r>
      <w:r>
        <w:rPr>
          <w:rFonts w:ascii="Georgia" w:hAnsi="Georgia" w:eastAsia="Georgia"/>
          <w:b w:val="0"/>
          <w:i w:val="0"/>
          <w:sz w:val="22"/>
        </w:rPr>
        <w:t>Shows respect toward readers or prior research rather than expressing genuine epistemic uncertainty (e.g., As suggested by Hyland (1998)...).</w:t>
      </w:r>
    </w:p>
    <w:p>
      <w:pPr>
        <w:spacing w:line="480" w:lineRule="auto" w:before="0" w:after="0"/>
        <w:ind w:firstLine="720"/>
        <w:jc w:val="both"/>
      </w:pPr>
      <w:r>
        <w:rPr>
          <w:rFonts w:ascii="Georgia" w:hAnsi="Georgia" w:eastAsia="Georgia"/>
          <w:b/>
          <w:i w:val="0"/>
          <w:sz w:val="22"/>
        </w:rPr>
        <w:t xml:space="preserve">Discourse Organization: </w:t>
      </w:r>
      <w:r>
        <w:rPr>
          <w:rFonts w:ascii="Georgia" w:hAnsi="Georgia" w:eastAsia="Georgia"/>
          <w:b w:val="0"/>
          <w:i w:val="0"/>
          <w:sz w:val="22"/>
        </w:rPr>
        <w:t>Manages text structure or guides reader expectations rather than expressing the writer’s epistemic stance (e.g., It should be noted that...).</w:t>
      </w:r>
    </w:p>
    <w:p>
      <w:pPr>
        <w:keepNext/>
        <w:keepLines/>
        <w:spacing w:before="240" w:after="240" w:line="480" w:lineRule="auto"/>
        <w:jc w:val="left"/>
      </w:pPr>
      <w:r>
        <w:rPr>
          <w:rFonts w:ascii="Georgia" w:hAnsi="Georgia" w:eastAsia="Georgia"/>
          <w:b w:val="0"/>
          <w:i/>
          <w:sz w:val="24"/>
        </w:rPr>
        <w:t>Decision Rules for Ambiguous Cases</w:t>
      </w:r>
    </w:p>
    <w:p>
      <w:pPr>
        <w:spacing w:line="480" w:lineRule="auto" w:before="0" w:after="0"/>
        <w:ind w:firstLine="720"/>
        <w:jc w:val="both"/>
      </w:pPr>
      <w:r>
        <w:rPr>
          <w:rFonts w:ascii="Georgia" w:hAnsi="Georgia" w:eastAsia="Georgia"/>
          <w:b/>
          <w:i w:val="0"/>
          <w:sz w:val="22"/>
        </w:rPr>
        <w:t xml:space="preserve">• Suggest / Indicate: </w:t>
      </w:r>
      <w:r>
        <w:rPr>
          <w:rFonts w:ascii="Georgia" w:hAnsi="Georgia" w:eastAsia="Georgia"/>
          <w:b w:val="0"/>
          <w:i w:val="0"/>
          <w:sz w:val="22"/>
        </w:rPr>
        <w:t>Coded as Hedge if introducing a finding or result (e.g., Data suggests a significant correlation). NOT coded as a hedge if introducing a recommendation (e.g., We suggest further research).</w:t>
      </w:r>
    </w:p>
    <w:p>
      <w:pPr>
        <w:spacing w:line="480" w:lineRule="auto" w:before="0" w:after="0"/>
        <w:ind w:firstLine="720"/>
        <w:jc w:val="both"/>
      </w:pPr>
      <w:r>
        <w:rPr>
          <w:rFonts w:ascii="Georgia" w:hAnsi="Georgia" w:eastAsia="Georgia"/>
          <w:b/>
          <w:i w:val="0"/>
          <w:sz w:val="22"/>
        </w:rPr>
        <w:t xml:space="preserve">• Can / May: </w:t>
      </w:r>
      <w:r>
        <w:rPr>
          <w:rFonts w:ascii="Georgia" w:hAnsi="Georgia" w:eastAsia="Georgia"/>
          <w:b w:val="0"/>
          <w:i w:val="0"/>
          <w:sz w:val="22"/>
        </w:rPr>
        <w:t>Coded as Hedge if expressing possibility or uncertainty (e.g., This may indicate disease resistance). NOT coded if expressing capability (e.g., PCR can detect low concentrations).</w:t>
      </w:r>
    </w:p>
    <w:p>
      <w:pPr>
        <w:spacing w:line="480" w:lineRule="auto" w:before="0" w:after="0"/>
        <w:ind w:firstLine="720"/>
        <w:jc w:val="both"/>
      </w:pPr>
      <w:r>
        <w:rPr>
          <w:rFonts w:ascii="Georgia" w:hAnsi="Georgia" w:eastAsia="Georgia"/>
          <w:b/>
          <w:i w:val="0"/>
          <w:sz w:val="22"/>
        </w:rPr>
        <w:t xml:space="preserve">• Generally / Typically: </w:t>
      </w:r>
      <w:r>
        <w:rPr>
          <w:rFonts w:ascii="Georgia" w:hAnsi="Georgia" w:eastAsia="Georgia"/>
          <w:b w:val="0"/>
          <w:i w:val="0"/>
          <w:sz w:val="22"/>
        </w:rPr>
        <w:t>Coded as Hedge if qualifying the scope of a claim (e.g., Plants generally respond to drought by...). NOT coded if describing a procedural norm (e.g., Samples were generally stored at 4°C).</w:t>
      </w:r>
    </w:p>
    <w:p>
      <w:pPr>
        <w:spacing w:line="480" w:lineRule="auto" w:before="0" w:after="0"/>
        <w:ind w:firstLine="720"/>
        <w:jc w:val="both"/>
      </w:pPr>
      <w:r>
        <w:rPr>
          <w:rFonts w:ascii="Georgia" w:hAnsi="Georgia" w:eastAsia="Georgia"/>
          <w:b/>
          <w:i w:val="0"/>
          <w:sz w:val="22"/>
        </w:rPr>
        <w:t xml:space="preserve">• Appear / Seem: </w:t>
      </w:r>
      <w:r>
        <w:rPr>
          <w:rFonts w:ascii="Georgia" w:hAnsi="Georgia" w:eastAsia="Georgia"/>
          <w:b w:val="0"/>
          <w:i w:val="0"/>
          <w:sz w:val="22"/>
        </w:rPr>
        <w:t>Coded as Hedge if expressing uncertainty about a result (e.g., The pathogen appears to be host-specific). NOT coded if indicating physical or textual location (e.g., The results appear in Table 1).</w:t>
      </w:r>
    </w:p>
    <w:p>
      <w:pPr>
        <w:keepNext/>
        <w:keepLines/>
        <w:spacing w:before="240" w:after="240" w:line="480" w:lineRule="auto"/>
        <w:jc w:val="left"/>
      </w:pPr>
      <w:r>
        <w:rPr>
          <w:rFonts w:ascii="Georgia" w:hAnsi="Georgia" w:eastAsia="Georgia"/>
          <w:b w:val="0"/>
          <w:i/>
          <w:sz w:val="24"/>
        </w:rPr>
        <w:t>Exclusion Rules</w:t>
      </w:r>
    </w:p>
    <w:p>
      <w:pPr>
        <w:spacing w:line="480" w:lineRule="auto" w:before="0" w:after="0"/>
        <w:ind w:firstLine="720"/>
        <w:jc w:val="both"/>
      </w:pPr>
      <w:r>
        <w:rPr>
          <w:rFonts w:ascii="Georgia" w:hAnsi="Georgia" w:eastAsia="Georgia"/>
          <w:b w:val="0"/>
          <w:i w:val="0"/>
          <w:sz w:val="22"/>
        </w:rPr>
        <w:t>Words expressing ability (can = the method is capable of), future procedure (will = the study will do X), or necessity (must, should in procedural contexts) are not coded as hedges. Working test: if removing the device does not change the epistemic weight of the claim, it is not functioning as a hedge.</w:t>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pageBreakBefore/>
        <w:spacing w:before="0" w:after="0" w:line="480" w:lineRule="auto"/>
        <w:jc w:val="center"/>
      </w:pPr>
      <w:r>
        <w:rPr>
          <w:rFonts w:ascii="Georgia" w:hAnsi="Georgia" w:eastAsia="Georgia"/>
          <w:b/>
          <w:i w:val="0"/>
          <w:sz w:val="28"/>
        </w:rPr>
        <w:t>APPENDIX B: PILOT SAMPLE ANALYSIS AND CODING VERIFICATION</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appendix presents the coding results of four abstracts analyzed during the pilot testing phase. Each abstract is presented followed by its coding summary to demonstrate the application of the coding key and decision rules.</w:t>
      </w:r>
    </w:p>
    <w:p>
      <w:pPr>
        <w:keepNext/>
        <w:keepLines/>
        <w:spacing w:before="240" w:after="240" w:line="480" w:lineRule="auto"/>
        <w:jc w:val="left"/>
      </w:pPr>
      <w:r>
        <w:rPr>
          <w:rFonts w:ascii="Georgia" w:hAnsi="Georgia" w:eastAsia="Georgia"/>
          <w:b w:val="0"/>
          <w:i/>
          <w:sz w:val="24"/>
        </w:rPr>
        <w:t>Sample 1: Biology</w:t>
      </w:r>
    </w:p>
    <w:p>
      <w:pPr>
        <w:spacing w:line="480" w:lineRule="auto" w:before="0" w:after="0"/>
        <w:ind w:firstLine="720"/>
        <w:jc w:val="both"/>
      </w:pPr>
      <w:r>
        <w:rPr>
          <w:rFonts w:ascii="Georgia" w:hAnsi="Georgia" w:eastAsia="Georgia"/>
          <w:b w:val="0"/>
          <w:i w:val="0"/>
          <w:sz w:val="22"/>
        </w:rPr>
        <w:t>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p>
    <w:p>
      <w:pPr>
        <w:spacing w:line="480" w:lineRule="auto" w:before="0" w:after="0"/>
        <w:ind w:firstLine="720"/>
        <w:jc w:val="both"/>
      </w:pPr>
      <w:r>
        <w:rPr>
          <w:rFonts w:ascii="Georgia" w:hAnsi="Georgia" w:eastAsia="Georgia"/>
          <w:b w:val="0"/>
          <w:i w:val="0"/>
          <w:sz w:val="22"/>
        </w:rPr>
        <w:t>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p>
    <w:p>
      <w:pPr>
        <w:spacing w:line="480" w:lineRule="auto" w:before="0" w:after="0"/>
        <w:ind w:firstLine="720"/>
        <w:jc w:val="both"/>
      </w:pPr>
      <w:r>
        <w:rPr>
          <w:rFonts w:ascii="Georgia" w:hAnsi="Georgia" w:eastAsia="Georgia"/>
          <w:b/>
          <w:i w:val="0"/>
          <w:sz w:val="22"/>
        </w:rPr>
        <w:t>Hedge Count: 0</w:t>
      </w:r>
    </w:p>
    <w:p>
      <w:pPr>
        <w:spacing w:line="480" w:lineRule="auto" w:before="0" w:after="0"/>
        <w:ind w:firstLine="720"/>
        <w:jc w:val="both"/>
      </w:pPr>
      <w:r>
        <w:rPr>
          <w:rFonts w:ascii="Georgia" w:hAnsi="Georgia" w:eastAsia="Georgia"/>
          <w:b w:val="0"/>
          <w:i w:val="0"/>
          <w:sz w:val="22"/>
        </w:rPr>
        <w:t>Analysis: The abstract relies entirely on factive verbs (conducted, showed, led to the conclusion). The final claim is presented as categorical with no qualification.</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“The result showed negative results that led to the conclusion that all shrimp farms were free…”</w:t>
      </w:r>
    </w:p>
    <w:p>
      <w:pPr>
        <w:keepNext/>
        <w:keepLines/>
        <w:spacing w:before="240" w:after="240" w:line="480" w:lineRule="auto"/>
        <w:jc w:val="left"/>
      </w:pPr>
      <w:r>
        <w:rPr>
          <w:rFonts w:ascii="Georgia" w:hAnsi="Georgia" w:eastAsia="Georgia"/>
          <w:b w:val="0"/>
          <w:i/>
          <w:sz w:val="24"/>
        </w:rPr>
        <w:t>Sample 2: Veterinary Medicine</w:t>
      </w:r>
    </w:p>
    <w:p>
      <w:pPr>
        <w:spacing w:line="480" w:lineRule="auto" w:before="0" w:after="0"/>
        <w:ind w:firstLine="720"/>
        <w:jc w:val="both"/>
      </w:pPr>
      <w:r>
        <w:rPr>
          <w:rFonts w:ascii="Georgia" w:hAnsi="Georgia" w:eastAsia="Georgia"/>
          <w:b w:val="0"/>
          <w:i w:val="0"/>
          <w:sz w:val="22"/>
        </w:rPr>
        <w:t>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p>
    <w:p>
      <w:pPr>
        <w:spacing w:line="480" w:lineRule="auto" w:before="0" w:after="0"/>
        <w:ind w:firstLine="720"/>
        <w:jc w:val="both"/>
      </w:pPr>
      <w:r>
        <w:rPr>
          <w:rFonts w:ascii="Georgia" w:hAnsi="Georgia" w:eastAsia="Georgia"/>
          <w:b/>
          <w:i w:val="0"/>
          <w:sz w:val="22"/>
        </w:rPr>
        <w:t>Hedge Count: 2</w:t>
      </w:r>
    </w:p>
    <w:p>
      <w:pPr>
        <w:spacing w:line="480" w:lineRule="auto" w:before="0" w:after="0"/>
        <w:ind w:firstLine="720"/>
        <w:jc w:val="both"/>
      </w:pPr>
      <w:r>
        <w:rPr>
          <w:rFonts w:ascii="Georgia" w:hAnsi="Georgia" w:eastAsia="Georgia"/>
          <w:b w:val="0"/>
          <w:i w:val="0"/>
          <w:sz w:val="22"/>
        </w:rPr>
        <w:t>Analysis: This abstract demonstrates awareness of claim management. Both hedges serve to qualify the final conclusion.</w:t>
      </w:r>
    </w:p>
    <w:p>
      <w:pPr>
        <w:spacing w:line="480" w:lineRule="auto" w:before="0" w:after="0"/>
        <w:ind w:firstLine="720"/>
        <w:jc w:val="both"/>
      </w:pPr>
      <w:r>
        <w:rPr>
          <w:rFonts w:ascii="Georgia" w:hAnsi="Georgia" w:eastAsia="Georgia"/>
          <w:b/>
          <w:i w:val="0"/>
          <w:sz w:val="22"/>
        </w:rPr>
        <w:t>Coded Instances:</w:t>
      </w:r>
    </w:p>
    <w:p>
      <w:pPr>
        <w:spacing w:line="480" w:lineRule="auto" w:before="0" w:after="0"/>
        <w:jc w:val="both"/>
      </w:pPr>
      <w:r>
        <w:rPr>
          <w:rFonts w:ascii="Georgia" w:hAnsi="Georgia" w:eastAsia="Georgia"/>
          <w:b w:val="0"/>
          <w:i w:val="0"/>
          <w:sz w:val="22"/>
        </w:rPr>
        <w:t>“The results suggested that...” (Lexical Verb - Epistemic Caution)</w:t>
      </w:r>
    </w:p>
    <w:p>
      <w:pPr>
        <w:spacing w:line="480" w:lineRule="auto" w:before="0" w:after="0"/>
        <w:jc w:val="both"/>
      </w:pPr>
      <w:r>
        <w:rPr>
          <w:rFonts w:ascii="Georgia" w:hAnsi="Georgia" w:eastAsia="Georgia"/>
          <w:b w:val="0"/>
          <w:i w:val="0"/>
          <w:sz w:val="22"/>
        </w:rPr>
        <w:t>“...extracts are potential alternative stains...” (Lexical Adjective - Epistemic Caution)</w:t>
      </w:r>
    </w:p>
    <w:p>
      <w:pPr>
        <w:spacing w:line="480" w:lineRule="auto" w:before="0" w:after="0"/>
        <w:ind w:firstLine="720"/>
        <w:jc w:val="both"/>
      </w:pPr>
      <w:r>
        <w:rPr>
          <w:rFonts w:ascii="Georgia" w:hAnsi="Georgia" w:eastAsia="Georgia"/>
          <w:b/>
          <w:i w:val="0"/>
          <w:sz w:val="22"/>
        </w:rPr>
        <w:t xml:space="preserve">Excluded: </w:t>
      </w:r>
      <w:r>
        <w:rPr>
          <w:rFonts w:ascii="Georgia" w:hAnsi="Georgia" w:eastAsia="Georgia"/>
          <w:b w:val="0"/>
          <w:i w:val="0"/>
          <w:sz w:val="22"/>
        </w:rPr>
        <w:t>“approximately two and one-half” (Procedural measurement, not epistemic).</w:t>
      </w:r>
    </w:p>
    <w:p>
      <w:pPr>
        <w:keepNext/>
        <w:keepLines/>
        <w:spacing w:before="240" w:after="240" w:line="480" w:lineRule="auto"/>
        <w:jc w:val="left"/>
      </w:pPr>
      <w:r>
        <w:rPr>
          <w:rFonts w:ascii="Georgia" w:hAnsi="Georgia" w:eastAsia="Georgia"/>
          <w:b w:val="0"/>
          <w:i/>
          <w:sz w:val="24"/>
        </w:rPr>
        <w:t>Sample 3: Agriculture (Animal Science)</w:t>
      </w:r>
    </w:p>
    <w:p>
      <w:pPr>
        <w:spacing w:line="480" w:lineRule="auto" w:before="0" w:after="0"/>
        <w:ind w:firstLine="720"/>
        <w:jc w:val="both"/>
      </w:pPr>
      <w:r>
        <w:rPr>
          <w:rFonts w:ascii="Georgia" w:hAnsi="Georgia" w:eastAsia="Georgia"/>
          <w:b w:val="0"/>
          <w:i w:val="0"/>
          <w:sz w:val="22"/>
        </w:rPr>
        <w:t>The study was conducted for 7 days from July 07 to July 13, 2022 at Brgy. San Roque, Magalang, Pampanga.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p>
    <w:p>
      <w:pPr>
        <w:spacing w:line="480" w:lineRule="auto" w:before="0" w:after="0"/>
        <w:ind w:firstLine="720"/>
        <w:jc w:val="both"/>
      </w:pPr>
      <w:r>
        <w:rPr>
          <w:rFonts w:ascii="Georgia" w:hAnsi="Georgia" w:eastAsia="Georgia"/>
          <w:b w:val="0"/>
          <w:i w:val="0"/>
          <w:sz w:val="22"/>
        </w:rPr>
        <w:t>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p>
    <w:p>
      <w:pPr>
        <w:spacing w:line="480" w:lineRule="auto" w:before="0" w:after="0"/>
        <w:ind w:firstLine="720"/>
        <w:jc w:val="both"/>
      </w:pPr>
      <w:r>
        <w:rPr>
          <w:rFonts w:ascii="Georgia" w:hAnsi="Georgia" w:eastAsia="Georgia"/>
          <w:b/>
          <w:i w:val="0"/>
          <w:sz w:val="22"/>
        </w:rPr>
        <w:t>Hedge Count: 0</w:t>
      </w:r>
    </w:p>
    <w:p>
      <w:pPr>
        <w:spacing w:line="480" w:lineRule="auto" w:before="0" w:after="0"/>
        <w:ind w:firstLine="720"/>
        <w:jc w:val="both"/>
      </w:pPr>
      <w:r>
        <w:rPr>
          <w:rFonts w:ascii="Georgia" w:hAnsi="Georgia" w:eastAsia="Georgia"/>
          <w:b w:val="0"/>
          <w:i w:val="0"/>
          <w:sz w:val="22"/>
        </w:rPr>
        <w:t>Analysis: The abstract uses factive reporting verbs (showed, revealed). Sensory evaluation ratings are reported as absolute data points. The term “moderately like” describes a Likert scale variable, not an epistemic qualification.</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“Results of the study showed that Comparison on Curing Methods…”</w:t>
      </w:r>
    </w:p>
    <w:p>
      <w:pPr>
        <w:keepNext/>
        <w:keepLines/>
        <w:spacing w:before="240" w:after="240" w:line="480" w:lineRule="auto"/>
        <w:jc w:val="left"/>
      </w:pPr>
      <w:r>
        <w:rPr>
          <w:rFonts w:ascii="Georgia" w:hAnsi="Georgia" w:eastAsia="Georgia"/>
          <w:b w:val="0"/>
          <w:i/>
          <w:sz w:val="24"/>
        </w:rPr>
        <w:t>Sample 4: Agriculture (Crop Science)</w:t>
      </w:r>
    </w:p>
    <w:p>
      <w:pPr>
        <w:spacing w:line="480" w:lineRule="auto" w:before="0" w:after="0"/>
        <w:ind w:firstLine="720"/>
        <w:jc w:val="both"/>
      </w:pPr>
      <w:r>
        <w:rPr>
          <w:rFonts w:ascii="Georgia" w:hAnsi="Georgia" w:eastAsia="Georgia"/>
          <w:b w:val="0"/>
          <w:i w:val="0"/>
          <w:sz w:val="22"/>
        </w:rPr>
        <w:t>The study was conducted from June to July 2022 to determine the influence of the different sources of nutrients to rice straw mushrooms. The field experiment was conducted in Sitio Pitabacan, San Ildefonso, Magalang, Pampanga.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p>
    <w:p>
      <w:pPr>
        <w:spacing w:line="480" w:lineRule="auto" w:before="0" w:after="0"/>
        <w:ind w:firstLine="720"/>
        <w:jc w:val="both"/>
      </w:pPr>
      <w:r>
        <w:rPr>
          <w:rFonts w:ascii="Georgia" w:hAnsi="Georgia" w:eastAsia="Georgia"/>
          <w:b w:val="0"/>
          <w:i w:val="0"/>
          <w:sz w:val="22"/>
        </w:rPr>
        <w:t>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p>
    <w:p>
      <w:pPr>
        <w:spacing w:line="480" w:lineRule="auto" w:before="0" w:after="0"/>
        <w:ind w:firstLine="720"/>
        <w:jc w:val="both"/>
      </w:pPr>
      <w:r>
        <w:rPr>
          <w:rFonts w:ascii="Georgia" w:hAnsi="Georgia" w:eastAsia="Georgia"/>
          <w:b/>
          <w:i w:val="0"/>
          <w:sz w:val="22"/>
        </w:rPr>
        <w:t>Hedge Count: 0</w:t>
      </w:r>
    </w:p>
    <w:p>
      <w:pPr>
        <w:spacing w:line="480" w:lineRule="auto" w:before="0" w:after="0"/>
        <w:ind w:firstLine="720"/>
        <w:jc w:val="both"/>
      </w:pPr>
      <w:r>
        <w:rPr>
          <w:rFonts w:ascii="Georgia" w:hAnsi="Georgia" w:eastAsia="Georgia"/>
          <w:b w:val="0"/>
          <w:i w:val="0"/>
          <w:sz w:val="22"/>
        </w:rPr>
        <w:t>Analysis: Statistical significance is reported as fact (revealed significant differences). No devices are used to qualify the biological efficiency or yield claims.</w:t>
      </w:r>
    </w:p>
    <w:p>
      <w:pPr>
        <w:spacing w:line="480" w:lineRule="auto" w:before="0" w:after="0"/>
        <w:ind w:firstLine="720"/>
        <w:jc w:val="both"/>
      </w:pPr>
      <w:r>
        <w:rPr>
          <w:rFonts w:ascii="Georgia" w:hAnsi="Georgia" w:eastAsia="Georgia"/>
          <w:b/>
          <w:i w:val="0"/>
          <w:sz w:val="22"/>
        </w:rPr>
        <w:t xml:space="preserve">Key Excerpt: </w:t>
      </w:r>
      <w:r>
        <w:rPr>
          <w:rFonts w:ascii="Georgia" w:hAnsi="Georgia" w:eastAsia="Georgia"/>
          <w:b w:val="0"/>
          <w:i w:val="0"/>
          <w:sz w:val="22"/>
        </w:rPr>
        <w:t>“Results of the study revealed significant differences... The highest ROI was obtained…”</w:t>
      </w:r>
    </w:p>
    <w:p>
      <w:pPr>
        <w:keepNext/>
        <w:keepLines/>
        <w:spacing w:before="240" w:after="240" w:line="480" w:lineRule="auto"/>
        <w:jc w:val="left"/>
      </w:pPr>
      <w:r>
        <w:rPr>
          <w:rFonts w:ascii="Georgia" w:hAnsi="Georgia" w:eastAsia="Georgia"/>
          <w:b w:val="0"/>
          <w:i/>
          <w:sz w:val="24"/>
        </w:rPr>
        <w:t>General Observation from Pilot Testing</w:t>
      </w:r>
    </w:p>
    <w:p>
      <w:pPr>
        <w:spacing w:line="480" w:lineRule="auto" w:before="0" w:after="0"/>
        <w:ind w:firstLine="720"/>
        <w:jc w:val="both"/>
      </w:pPr>
      <w:r>
        <w:rPr>
          <w:rFonts w:ascii="Georgia" w:hAnsi="Georgia" w:eastAsia="Georgia"/>
          <w:b w:val="0"/>
          <w:i w:val="0"/>
          <w:sz w:val="22"/>
        </w:rPr>
        <w:t>The pilot analysis revealed a high frequency of zero-hedge abstracts (3 out of 4). This pattern suggests that developing researchers may either lack awareness of hedging conventions or interpret the abstract genre as a space for factual reporting rather than claim management. This observation confirms the need for a descriptive baseline study.</w:t>
      </w:r>
    </w:p>
    <w:p>
      <w:pPr>
        <w:sectPr>
          <w:headerReference w:type="default" r:id="rId20"/>
          <w:headerReference w:type="first" r:id="rId21"/>
          <w:pgSz w:w="11906" w:h="16838"/>
          <w:pgMar w:top="1440" w:right="1440" w:bottom="1440" w:left="2160" w:header="720" w:footer="720" w:gutter="0"/>
          <w:cols w:space="720"/>
          <w:titlePg/>
          <w:docGrid w:linePitch="360"/>
        </w:sectPr>
      </w:pP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480" w:lineRule="auto"/>
        <w:jc w:val="center"/>
      </w:pPr>
      <w:r>
        <w:rPr>
          <w:rFonts w:ascii="Georgia" w:hAnsi="Georgia" w:eastAsia="Georgia"/>
          <w:b/>
          <w:i w:val="0"/>
          <w:sz w:val="28"/>
        </w:rPr>
        <w:t>APPENDIX C: HEDGING CODEBOOK</w:t>
      </w:r>
    </w:p>
    <w:p>
      <w:pPr>
        <w:spacing w:before="0" w:after="0" w:line="240" w:lineRule="auto"/>
      </w:pPr>
      <w:r>
        <w:rPr>
          <w:rFonts w:ascii="Georgia" w:hAnsi="Georgia" w:eastAsia="Georgia"/>
          <w:b w:val="0"/>
          <w:i w:val="0"/>
          <w:sz w:val="22"/>
        </w:rPr>
      </w:r>
    </w:p>
    <w:p>
      <w:pPr>
        <w:keepNext/>
        <w:keepLines/>
        <w:spacing w:before="240" w:after="240" w:line="480" w:lineRule="auto"/>
        <w:jc w:val="left"/>
      </w:pPr>
      <w:r>
        <w:rPr>
          <w:rFonts w:ascii="Georgia" w:hAnsi="Georgia" w:eastAsia="Georgia"/>
          <w:b/>
          <w:i w:val="0"/>
          <w:sz w:val="24"/>
        </w:rPr>
        <w:t>PURPOSE</w:t>
      </w:r>
    </w:p>
    <w:p>
      <w:pPr>
        <w:spacing w:line="480" w:lineRule="auto" w:before="0" w:after="0"/>
        <w:ind w:firstLine="720"/>
        <w:jc w:val="both"/>
      </w:pPr>
      <w:r>
        <w:rPr>
          <w:rFonts w:ascii="Georgia" w:hAnsi="Georgia" w:eastAsia="Georgia"/>
          <w:b w:val="0"/>
          <w:i w:val="0"/>
          <w:sz w:val="22"/>
        </w:rPr>
        <w:t>This codebook operationalizes Hyland’s (1998) hedging framework for coding the PSAU thesis abstract corpus. All colors are background highlights, applied by hand or digital highlighter directly on printed or PDF copies. They are not font colors and are not tied to any software. The highlighted hard copies are the primary coding record; any spreadsheet is a derived tally, not the source of truth.</w:t>
      </w:r>
    </w:p>
    <w:p>
      <w:pPr>
        <w:keepNext/>
        <w:keepLines/>
        <w:spacing w:before="240" w:after="240" w:line="480" w:lineRule="auto"/>
        <w:jc w:val="left"/>
      </w:pPr>
      <w:r>
        <w:rPr>
          <w:rFonts w:ascii="Georgia" w:hAnsi="Georgia" w:eastAsia="Georgia"/>
          <w:b/>
          <w:i w:val="0"/>
          <w:sz w:val="24"/>
        </w:rPr>
        <w:t>WORKING TEST</w:t>
      </w:r>
    </w:p>
    <w:p>
      <w:pPr>
        <w:spacing w:line="480" w:lineRule="auto" w:before="0" w:after="0"/>
        <w:ind w:firstLine="720"/>
        <w:jc w:val="both"/>
      </w:pPr>
      <w:r>
        <w:rPr>
          <w:rFonts w:ascii="Georgia" w:hAnsi="Georgia" w:eastAsia="Georgia"/>
          <w:b w:val="0"/>
          <w:i w:val="0"/>
          <w:color w:val="000000"/>
          <w:sz w:val="22"/>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hAnsi="Georgia" w:eastAsia="Georgia"/>
          <w:b w:val="0"/>
          <w:i/>
          <w:color w:val="000000"/>
          <w:sz w:val="22"/>
        </w:rPr>
        <w:t>“as indicated by X”</w:t>
      </w:r>
      <w:r>
        <w:rPr>
          <w:rFonts w:ascii="Georgia" w:hAnsi="Georgia" w:eastAsia="Georgia"/>
          <w:b w:val="0"/>
          <w:i w:val="0"/>
          <w:color w:val="000000"/>
          <w:sz w:val="22"/>
        </w:rPr>
        <w:t>) rather than expressing uncertainty about the claim itself.</w:t>
      </w:r>
    </w:p>
    <w:p>
      <w:pPr>
        <w:spacing w:line="480" w:lineRule="auto" w:before="0" w:after="0"/>
        <w:ind w:firstLine="720"/>
        <w:jc w:val="both"/>
      </w:pPr>
      <w:r>
        <w:rPr>
          <w:rFonts w:ascii="Georgia" w:hAnsi="Georgia" w:eastAsia="Georgia"/>
          <w:b w:val="0"/>
          <w:i w:val="0"/>
          <w:sz w:val="22"/>
        </w:rPr>
        <w:t>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p>
    <w:p>
      <w:pPr>
        <w:spacing w:line="480" w:lineRule="auto" w:before="0" w:after="0"/>
        <w:ind w:firstLine="720"/>
        <w:jc w:val="both"/>
      </w:pPr>
      <w:r>
        <w:rPr>
          <w:rFonts w:ascii="Georgia" w:hAnsi="Georgia" w:eastAsia="Georgia"/>
          <w:b w:val="0"/>
          <w:i w:val="0"/>
          <w:color w:val="000000"/>
          <w:sz w:val="22"/>
        </w:rPr>
        <w:t xml:space="preserve">Do not code a word as a hedge just because it appears in the hedge list. Evaluate its function in the sentence: </w:t>
      </w:r>
      <w:r>
        <w:rPr>
          <w:rFonts w:ascii="Georgia" w:hAnsi="Georgia" w:eastAsia="Georgia"/>
          <w:b w:val="0"/>
          <w:i/>
          <w:color w:val="000000"/>
          <w:sz w:val="22"/>
        </w:rPr>
        <w:t>“can”</w:t>
      </w:r>
      <w:r>
        <w:rPr>
          <w:rFonts w:ascii="Georgia" w:hAnsi="Georgia" w:eastAsia="Georgia"/>
          <w:b w:val="0"/>
          <w:i w:val="0"/>
          <w:color w:val="000000"/>
          <w:sz w:val="22"/>
        </w:rPr>
        <w:t xml:space="preserve"> is a hedge only for possibility, not capability; </w:t>
      </w:r>
      <w:r>
        <w:rPr>
          <w:rFonts w:ascii="Georgia" w:hAnsi="Georgia" w:eastAsia="Georgia"/>
          <w:b w:val="0"/>
          <w:i/>
          <w:color w:val="000000"/>
          <w:sz w:val="22"/>
        </w:rPr>
        <w:t>“suggest”</w:t>
      </w:r>
      <w:r>
        <w:rPr>
          <w:rFonts w:ascii="Georgia" w:hAnsi="Georgia" w:eastAsia="Georgia"/>
          <w:b w:val="0"/>
          <w:i w:val="0"/>
          <w:color w:val="000000"/>
          <w:sz w:val="22"/>
        </w:rPr>
        <w:t xml:space="preserve"> is a hedge only for a finding, not a recommendation.</w:t>
      </w:r>
    </w:p>
    <w:p>
      <w:pPr>
        <w:spacing w:line="480" w:lineRule="auto" w:before="0" w:after="0"/>
        <w:ind w:firstLine="720"/>
        <w:jc w:val="both"/>
      </w:pPr>
      <w:r>
        <w:rPr>
          <w:rFonts w:ascii="Georgia" w:hAnsi="Georgia" w:eastAsia="Georgia"/>
          <w:b w:val="0"/>
          <w:i w:val="0"/>
          <w:sz w:val="22"/>
        </w:rPr>
        <w:t>Coding order: read the sentence in full, check Decision Rules, apply the Working Test if unresolved, and log any case that still can’t be resolved in Coder Notes rather than guessing.</w:t>
      </w:r>
    </w:p>
    <w:p>
      <w:pPr>
        <w:keepNext/>
        <w:keepLines/>
        <w:spacing w:before="240" w:after="240" w:line="480" w:lineRule="auto"/>
        <w:jc w:val="left"/>
      </w:pPr>
      <w:r>
        <w:rPr>
          <w:rFonts w:ascii="Georgia" w:hAnsi="Georgia" w:eastAsia="Georgia"/>
          <w:b/>
          <w:i w:val="0"/>
          <w:sz w:val="24"/>
        </w:rPr>
        <w:t>LAYER 1: HEDGE TYPE (PRIMARY COLORS)</w:t>
      </w:r>
    </w:p>
    <w:p>
      <w:pPr>
        <w:spacing w:line="480" w:lineRule="auto" w:before="0" w:after="0"/>
        <w:ind w:firstLine="720"/>
        <w:jc w:val="both"/>
      </w:pPr>
      <w:r>
        <w:rPr>
          <w:rFonts w:ascii="Georgia" w:hAnsi="Georgia" w:eastAsia="Georgia"/>
          <w:b w:val="0"/>
          <w:i w:val="0"/>
          <w:sz w:val="22"/>
        </w:rPr>
        <w:t>Highlight each hedge token in the color matching its grammatical form.</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rPr>
        <w:tc>
          <w:tcPr>
            <w:tcW w:type="dxa" w:w="2076"/>
            <w:shd w:val="clear" w:color="auto" w:fill="F2F4F6"/>
            <w:tcW w:w="900" w:type="dxa"/>
          </w:tcPr>
          <w:p>
            <w:pPr>
              <w:spacing w:before="40" w:after="40" w:line="240" w:lineRule="auto"/>
              <w:jc w:val="left"/>
            </w:pPr>
            <w:r>
              <w:rPr>
                <w:rFonts w:ascii="Georgia" w:hAnsi="Georgia" w:eastAsia="Georgia"/>
                <w:b/>
                <w:sz w:val="20"/>
              </w:rPr>
              <w:t>Color</w:t>
            </w:r>
          </w:p>
        </w:tc>
        <w:tc>
          <w:tcPr>
            <w:tcW w:type="dxa" w:w="2076"/>
            <w:shd w:val="clear" w:color="auto" w:fill="F2F4F6"/>
            <w:tcW w:w="1600" w:type="dxa"/>
          </w:tcPr>
          <w:p>
            <w:pPr>
              <w:spacing w:before="40" w:after="40" w:line="240" w:lineRule="auto"/>
              <w:jc w:val="left"/>
            </w:pPr>
            <w:r>
              <w:rPr>
                <w:rFonts w:ascii="Georgia" w:hAnsi="Georgia" w:eastAsia="Georgia"/>
                <w:b/>
                <w:sz w:val="20"/>
              </w:rPr>
              <w:t>Type</w:t>
            </w:r>
          </w:p>
        </w:tc>
        <w:tc>
          <w:tcPr>
            <w:tcW w:type="dxa" w:w="2076"/>
            <w:shd w:val="clear" w:color="auto" w:fill="F2F4F6"/>
            <w:tcW w:w="2700" w:type="dxa"/>
          </w:tcPr>
          <w:p>
            <w:pPr>
              <w:spacing w:before="40" w:after="40" w:line="240" w:lineRule="auto"/>
              <w:jc w:val="left"/>
            </w:pPr>
            <w:r>
              <w:rPr>
                <w:rFonts w:ascii="Georgia" w:hAnsi="Georgia" w:eastAsia="Georgia"/>
                <w:b/>
                <w:sz w:val="20"/>
              </w:rPr>
              <w:t>Definition</w:t>
            </w:r>
          </w:p>
        </w:tc>
        <w:tc>
          <w:tcPr>
            <w:tcW w:type="dxa" w:w="2076"/>
            <w:shd w:val="clear" w:color="auto" w:fill="F2F4F6"/>
            <w:tcW w:w="2300" w:type="dxa"/>
          </w:tcPr>
          <w:p>
            <w:pPr>
              <w:spacing w:before="40" w:after="40" w:line="240" w:lineRule="auto"/>
              <w:jc w:val="left"/>
            </w:pPr>
            <w:r>
              <w:rPr>
                <w:rFonts w:ascii="Georgia" w:hAnsi="Georgia" w:eastAsia="Georgia"/>
                <w:b/>
                <w:sz w:val="20"/>
              </w:rPr>
              <w:t>Highlighted Example</w:t>
            </w:r>
          </w:p>
        </w:tc>
      </w:tr>
      <w:tr>
        <w:trPr>
          <w:cantSplit/>
        </w:trPr>
        <w:tc>
          <w:tcPr>
            <w:tcW w:type="dxa" w:w="2076"/>
            <w:shd w:val="clear" w:color="auto" w:fill="00B0F0"/>
            <w:tcW w:w="900" w:type="dxa"/>
          </w:tcPr>
          <w:p>
            <w:pPr>
              <w:spacing w:before="40" w:after="40" w:line="240" w:lineRule="auto"/>
              <w:jc w:val="left"/>
            </w:pPr>
            <w:r>
              <w:rPr>
                <w:rFonts w:ascii="Georgia" w:hAnsi="Georgia" w:eastAsia="Georgia"/>
                <w:sz w:val="22"/>
                <w:shd w:val="clear" w:color="auto" w:fill="00B0F0"/>
              </w:rPr>
              <w:t xml:space="preserve">      </w:t>
            </w:r>
          </w:p>
        </w:tc>
        <w:tc>
          <w:tcPr>
            <w:tcW w:type="dxa" w:w="2076"/>
            <w:tcW w:w="1600" w:type="dxa"/>
          </w:tcPr>
          <w:p>
            <w:pPr>
              <w:spacing w:before="40" w:after="40" w:line="240" w:lineRule="auto"/>
              <w:jc w:val="left"/>
            </w:pPr>
            <w:r>
              <w:rPr>
                <w:rFonts w:ascii="Georgia" w:hAnsi="Georgia" w:eastAsia="Georgia"/>
                <w:sz w:val="20"/>
              </w:rPr>
              <w:t>Modal Verbs</w:t>
            </w:r>
          </w:p>
        </w:tc>
        <w:tc>
          <w:tcPr>
            <w:tcW w:type="dxa" w:w="2076"/>
            <w:tcW w:w="2700" w:type="dxa"/>
          </w:tcPr>
          <w:p>
            <w:pPr>
              <w:spacing w:before="40" w:after="40" w:line="240" w:lineRule="auto"/>
              <w:jc w:val="left"/>
            </w:pPr>
            <w:r>
              <w:rPr>
                <w:rFonts w:ascii="Georgia" w:hAnsi="Georgia" w:eastAsia="Georgia"/>
                <w:sz w:val="20"/>
              </w:rPr>
              <w:t>Expresses possibility, probability, or a condition under which something may happen.</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“This </w:t>
            </w:r>
            <w:r>
              <w:rPr>
                <w:rFonts w:ascii="Georgia" w:hAnsi="Georgia" w:eastAsia="Georgia"/>
                <w:b/>
                <w:strike w:val="0"/>
                <w:color w:val="000000"/>
                <w:sz w:val="20"/>
                <w:shd w:val="clear" w:color="auto" w:fill="00B0F0"/>
              </w:rPr>
              <w:t>may</w:t>
            </w:r>
            <w:r>
              <w:rPr>
                <w:rFonts w:ascii="Georgia" w:hAnsi="Georgia" w:eastAsia="Georgia"/>
                <w:b w:val="0"/>
                <w:i w:val="0"/>
                <w:color w:val="000000"/>
                <w:sz w:val="20"/>
              </w:rPr>
              <w:t xml:space="preserve"> indicate disease resistance.”</w:t>
            </w:r>
          </w:p>
        </w:tc>
      </w:tr>
      <w:tr>
        <w:trPr>
          <w:cantSplit/>
        </w:trPr>
        <w:tc>
          <w:tcPr>
            <w:tcW w:type="dxa" w:w="2076"/>
            <w:shd w:val="clear" w:color="auto" w:fill="FF0000"/>
            <w:tcW w:w="900" w:type="dxa"/>
          </w:tcPr>
          <w:p>
            <w:pPr>
              <w:spacing w:before="40" w:after="40" w:line="240" w:lineRule="auto"/>
              <w:jc w:val="left"/>
            </w:pPr>
            <w:r>
              <w:rPr>
                <w:rFonts w:ascii="Georgia" w:hAnsi="Georgia" w:eastAsia="Georgia"/>
                <w:sz w:val="22"/>
                <w:shd w:val="clear" w:color="auto" w:fill="FF0000"/>
              </w:rPr>
              <w:t xml:space="preserve">      </w:t>
            </w:r>
          </w:p>
        </w:tc>
        <w:tc>
          <w:tcPr>
            <w:tcW w:type="dxa" w:w="2076"/>
            <w:tcW w:w="1600" w:type="dxa"/>
          </w:tcPr>
          <w:p>
            <w:pPr>
              <w:spacing w:before="40" w:after="40" w:line="240" w:lineRule="auto"/>
              <w:jc w:val="left"/>
            </w:pPr>
            <w:r>
              <w:rPr>
                <w:rFonts w:ascii="Georgia" w:hAnsi="Georgia" w:eastAsia="Georgia"/>
                <w:sz w:val="20"/>
              </w:rPr>
              <w:t>Lexical Hedges</w:t>
            </w:r>
          </w:p>
        </w:tc>
        <w:tc>
          <w:tcPr>
            <w:tcW w:type="dxa" w:w="2076"/>
            <w:tcW w:w="2700" w:type="dxa"/>
          </w:tcPr>
          <w:p>
            <w:pPr>
              <w:spacing w:before="40" w:after="40" w:line="240" w:lineRule="auto"/>
              <w:jc w:val="left"/>
            </w:pPr>
            <w:r>
              <w:rPr>
                <w:rFonts w:ascii="Georgia" w:hAnsi="Georgia" w:eastAsia="Georgia"/>
                <w:sz w:val="20"/>
              </w:rPr>
              <w:t>Verbs, adjectives, or nouns that make a claim less certain or more cautious.</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“Data </w:t>
            </w:r>
            <w:r>
              <w:rPr>
                <w:rFonts w:ascii="Georgia" w:hAnsi="Georgia" w:eastAsia="Georgia"/>
                <w:b/>
                <w:strike w:val="0"/>
                <w:color w:val="FFFFFF"/>
                <w:sz w:val="20"/>
                <w:shd w:val="clear" w:color="auto" w:fill="FF0000"/>
              </w:rPr>
              <w:t>suggests</w:t>
            </w:r>
            <w:r>
              <w:rPr>
                <w:rFonts w:ascii="Georgia" w:hAnsi="Georgia" w:eastAsia="Georgia"/>
                <w:b w:val="0"/>
                <w:i w:val="0"/>
                <w:color w:val="000000"/>
                <w:sz w:val="20"/>
              </w:rPr>
              <w:t xml:space="preserve"> a correlation.”</w:t>
            </w:r>
          </w:p>
        </w:tc>
      </w:tr>
      <w:tr>
        <w:trPr>
          <w:cantSplit/>
        </w:trPr>
        <w:tc>
          <w:tcPr>
            <w:tcW w:type="dxa" w:w="2076"/>
            <w:shd w:val="clear" w:color="auto" w:fill="FFFF00"/>
            <w:tcW w:w="900" w:type="dxa"/>
          </w:tcPr>
          <w:p>
            <w:pPr>
              <w:spacing w:before="40" w:after="40" w:line="240" w:lineRule="auto"/>
              <w:jc w:val="left"/>
            </w:pPr>
            <w:r>
              <w:rPr>
                <w:rFonts w:ascii="Georgia" w:hAnsi="Georgia" w:eastAsia="Georgia"/>
                <w:sz w:val="22"/>
                <w:shd w:val="clear" w:color="auto" w:fill="FFFF00"/>
              </w:rPr>
              <w:t xml:space="preserve">      </w:t>
            </w:r>
          </w:p>
        </w:tc>
        <w:tc>
          <w:tcPr>
            <w:tcW w:type="dxa" w:w="2076"/>
            <w:tcW w:w="1600" w:type="dxa"/>
          </w:tcPr>
          <w:p>
            <w:pPr>
              <w:spacing w:before="40" w:after="40" w:line="240" w:lineRule="auto"/>
              <w:jc w:val="left"/>
            </w:pPr>
            <w:r>
              <w:rPr>
                <w:rFonts w:ascii="Georgia" w:hAnsi="Georgia" w:eastAsia="Georgia"/>
                <w:sz w:val="20"/>
              </w:rPr>
              <w:t>Adverbial Hedges</w:t>
            </w:r>
          </w:p>
        </w:tc>
        <w:tc>
          <w:tcPr>
            <w:tcW w:type="dxa" w:w="2076"/>
            <w:tcW w:w="2700" w:type="dxa"/>
          </w:tcPr>
          <w:p>
            <w:pPr>
              <w:spacing w:before="40" w:after="40" w:line="240" w:lineRule="auto"/>
              <w:jc w:val="left"/>
            </w:pPr>
            <w:r>
              <w:rPr>
                <w:rFonts w:ascii="Georgia" w:hAnsi="Georgia" w:eastAsia="Georgia"/>
                <w:sz w:val="20"/>
              </w:rPr>
              <w:t>Adverbs that qualify how broadly, how often, or how certainly a claim applies.</w:t>
            </w:r>
          </w:p>
        </w:tc>
        <w:tc>
          <w:tcPr>
            <w:tcW w:type="dxa" w:w="2076"/>
            <w:tcW w:w="2300" w:type="dxa"/>
          </w:tcPr>
          <w:p>
            <w:pPr>
              <w:spacing w:before="40" w:after="40" w:line="240" w:lineRule="auto"/>
              <w:jc w:val="left"/>
            </w:pPr>
            <w:r>
              <w:rPr>
                <w:rFonts w:ascii="Georgia" w:hAnsi="Georgia" w:eastAsia="Georgia"/>
                <w:b w:val="0"/>
                <w:i w:val="0"/>
                <w:color w:val="000000"/>
                <w:sz w:val="20"/>
              </w:rPr>
              <w:t xml:space="preserve">“Plants </w:t>
            </w:r>
            <w:r>
              <w:rPr>
                <w:rFonts w:ascii="Georgia" w:hAnsi="Georgia" w:eastAsia="Georgia"/>
                <w:b/>
                <w:strike w:val="0"/>
                <w:color w:val="000000"/>
                <w:sz w:val="20"/>
                <w:shd w:val="clear" w:color="auto" w:fill="FFFF00"/>
              </w:rPr>
              <w:t>generally</w:t>
            </w:r>
            <w:r>
              <w:rPr>
                <w:rFonts w:ascii="Georgia" w:hAnsi="Georgia" w:eastAsia="Georgia"/>
                <w:b w:val="0"/>
                <w:i w:val="0"/>
                <w:color w:val="000000"/>
                <w:sz w:val="20"/>
              </w:rPr>
              <w:t xml:space="preserve"> respond to drought.”</w:t>
            </w:r>
          </w:p>
        </w:tc>
      </w:tr>
      <w:tr>
        <w:trPr>
          <w:cantSplit/>
        </w:trPr>
        <w:tc>
          <w:tcPr>
            <w:tcW w:type="dxa" w:w="2076"/>
            <w:shd w:val="clear" w:color="auto" w:fill="00B050"/>
            <w:tcW w:w="900" w:type="dxa"/>
          </w:tcPr>
          <w:p>
            <w:pPr>
              <w:spacing w:before="40" w:after="40" w:line="240" w:lineRule="auto"/>
              <w:jc w:val="left"/>
            </w:pPr>
            <w:r>
              <w:rPr>
                <w:rFonts w:ascii="Georgia" w:hAnsi="Georgia" w:eastAsia="Georgia"/>
                <w:sz w:val="22"/>
                <w:shd w:val="clear" w:color="auto" w:fill="00B050"/>
              </w:rPr>
              <w:t xml:space="preserve">      </w:t>
            </w:r>
          </w:p>
        </w:tc>
        <w:tc>
          <w:tcPr>
            <w:tcW w:type="dxa" w:w="2076"/>
            <w:tcW w:w="1600" w:type="dxa"/>
          </w:tcPr>
          <w:p>
            <w:pPr>
              <w:spacing w:before="40" w:after="40" w:line="240" w:lineRule="auto"/>
              <w:jc w:val="left"/>
            </w:pPr>
            <w:r>
              <w:rPr>
                <w:rFonts w:ascii="Georgia" w:hAnsi="Georgia" w:eastAsia="Georgia"/>
                <w:sz w:val="20"/>
              </w:rPr>
              <w:t>Clause-Level Hedges</w:t>
            </w:r>
          </w:p>
        </w:tc>
        <w:tc>
          <w:tcPr>
            <w:tcW w:type="dxa" w:w="2076"/>
            <w:tcW w:w="2700" w:type="dxa"/>
          </w:tcPr>
          <w:p>
            <w:pPr>
              <w:spacing w:before="40" w:after="40" w:line="240" w:lineRule="auto"/>
              <w:jc w:val="left"/>
            </w:pPr>
            <w:r>
              <w:rPr>
                <w:rFonts w:ascii="Georgia" w:hAnsi="Georgia" w:eastAsia="Georgia"/>
                <w:sz w:val="20"/>
              </w:rPr>
              <w:t>Clause-level phrases framing a claim as tentative.</w:t>
            </w:r>
          </w:p>
        </w:tc>
        <w:tc>
          <w:tcPr>
            <w:tcW w:type="dxa" w:w="2076"/>
            <w:tcW w:w="23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FFFFFF"/>
                <w:sz w:val="20"/>
                <w:shd w:val="clear" w:color="auto" w:fill="00B050"/>
              </w:rPr>
              <w:t>It seems that</w:t>
            </w:r>
            <w:r>
              <w:rPr>
                <w:rFonts w:ascii="Georgia" w:hAnsi="Georgia" w:eastAsia="Georgia"/>
                <w:b w:val="0"/>
                <w:i w:val="0"/>
                <w:color w:val="000000"/>
                <w:sz w:val="20"/>
              </w:rPr>
              <w:t xml:space="preserve"> the pathogen is host-specific.”</w:t>
            </w:r>
          </w:p>
        </w:tc>
      </w:tr>
    </w:tbl>
    <w:p>
      <w:pPr>
        <w:spacing w:before="0" w:after="0" w:line="240" w:lineRule="auto"/>
      </w:pPr>
      <w:r>
        <w:rPr>
          <w:rFonts w:ascii="Georgia" w:hAnsi="Georgia" w:eastAsia="Georgia"/>
          <w:b w:val="0"/>
          <w:i w:val="0"/>
          <w:sz w:val="22"/>
        </w:rPr>
      </w:r>
    </w:p>
    <w:p>
      <w:pPr>
        <w:spacing w:line="480" w:lineRule="auto"/>
        <w:ind w:firstLine="720"/>
        <w:jc w:val="both"/>
      </w:pPr>
      <w:r>
        <w:rPr>
          <w:rFonts w:ascii="Georgia" w:hAnsi="Georgia" w:eastAsia="Georgia"/>
          <w:b w:val="0"/>
          <w:i/>
          <w:color w:val="000000"/>
          <w:sz w:val="22"/>
        </w:rPr>
        <w:t xml:space="preserve">Exclusions (capability, recommendation, procedural norm, location) are covered under </w:t>
      </w:r>
      <w:r>
        <w:rPr>
          <w:rFonts w:ascii="Georgia" w:hAnsi="Georgia" w:eastAsia="Georgia"/>
          <w:b/>
          <w:i/>
          <w:color w:val="000000"/>
          <w:sz w:val="22"/>
        </w:rPr>
        <w:t>Decision Rules</w:t>
      </w:r>
      <w:r>
        <w:rPr>
          <w:rFonts w:ascii="Georgia" w:hAnsi="Georgia" w:eastAsia="Georgia"/>
          <w:b w:val="0"/>
          <w:i/>
          <w:color w:val="000000"/>
          <w:sz w:val="22"/>
        </w:rPr>
        <w:t>.</w:t>
      </w:r>
    </w:p>
    <w:p>
      <w:pPr>
        <w:spacing w:line="480" w:lineRule="auto"/>
        <w:ind w:firstLine="720"/>
        <w:jc w:val="both"/>
      </w:pPr>
      <w:r>
        <w:rPr>
          <w:rFonts w:ascii="Georgia" w:hAnsi="Georgia" w:eastAsia="Georgia"/>
          <w:b/>
          <w:i w:val="0"/>
          <w:color w:val="000000"/>
          <w:sz w:val="22"/>
        </w:rPr>
        <w:t xml:space="preserve">Extensions: </w:t>
      </w:r>
      <w:r>
        <w:rPr>
          <w:rFonts w:ascii="Georgia" w:hAnsi="Georgia" w:eastAsia="Georgia"/>
          <w:b w:val="0"/>
          <w:i/>
          <w:color w:val="000000"/>
          <w:sz w:val="22"/>
        </w:rPr>
        <w:t>“imply/implies/implying”</w:t>
      </w:r>
      <w:r>
        <w:rPr>
          <w:rFonts w:ascii="Georgia" w:hAnsi="Georgia" w:eastAsia="Georgia"/>
          <w:b w:val="0"/>
          <w:i w:val="0"/>
          <w:color w:val="000000"/>
          <w:sz w:val="22"/>
        </w:rPr>
        <w:t xml:space="preserve"> functions as </w:t>
      </w:r>
      <w:r>
        <w:rPr>
          <w:rFonts w:ascii="Georgia" w:hAnsi="Georgia" w:eastAsia="Georgia"/>
          <w:b w:val="0"/>
          <w:i/>
          <w:color w:val="000000"/>
          <w:sz w:val="22"/>
        </w:rPr>
        <w:t>suggest</w:t>
      </w:r>
      <w:r>
        <w:rPr>
          <w:rFonts w:ascii="Georgia" w:hAnsi="Georgia" w:eastAsia="Georgia"/>
          <w:b w:val="0"/>
          <w:i w:val="0"/>
          <w:color w:val="000000"/>
          <w:sz w:val="22"/>
        </w:rPr>
        <w:t xml:space="preserve">. </w:t>
      </w:r>
      <w:r>
        <w:rPr>
          <w:rFonts w:ascii="Georgia" w:hAnsi="Georgia" w:eastAsia="Georgia"/>
          <w:b w:val="0"/>
          <w:i/>
          <w:color w:val="000000"/>
          <w:sz w:val="22"/>
        </w:rPr>
        <w:t>“Can be concluded / derived / stated / attributed to / seen as”</w:t>
      </w:r>
      <w:r>
        <w:rPr>
          <w:rFonts w:ascii="Georgia" w:hAnsi="Georgia" w:eastAsia="Georgia"/>
          <w:b w:val="0"/>
          <w:i w:val="0"/>
          <w:color w:val="000000"/>
          <w:sz w:val="22"/>
        </w:rPr>
        <w:t xml:space="preserve"> is an inferential hedge, distinct from capability </w:t>
      </w:r>
      <w:r>
        <w:rPr>
          <w:rFonts w:ascii="Georgia" w:hAnsi="Georgia" w:eastAsia="Georgia"/>
          <w:b w:val="0"/>
          <w:i/>
          <w:color w:val="000000"/>
          <w:sz w:val="22"/>
        </w:rPr>
        <w:t>“can”</w:t>
      </w:r>
      <w:r>
        <w:rPr>
          <w:rFonts w:ascii="Georgia" w:hAnsi="Georgia" w:eastAsia="Georgia"/>
          <w:b w:val="0"/>
          <w:i w:val="0"/>
          <w:color w:val="000000"/>
          <w:sz w:val="22"/>
        </w:rPr>
        <w:t xml:space="preserve"> (see Decision Rules). </w:t>
      </w:r>
      <w:r>
        <w:rPr>
          <w:rFonts w:ascii="Georgia" w:hAnsi="Georgia" w:eastAsia="Georgia"/>
          <w:b w:val="0"/>
          <w:i/>
          <w:color w:val="000000"/>
          <w:sz w:val="22"/>
        </w:rPr>
        <w:t>“Potentially”</w:t>
      </w:r>
      <w:r>
        <w:rPr>
          <w:rFonts w:ascii="Georgia" w:hAnsi="Georgia" w:eastAsia="Georgia"/>
          <w:b w:val="0"/>
          <w:i w:val="0"/>
          <w:color w:val="000000"/>
          <w:sz w:val="22"/>
        </w:rPr>
        <w:t xml:space="preserve"> is an adverbial hedge. </w:t>
      </w:r>
      <w:r>
        <w:rPr>
          <w:rFonts w:ascii="Georgia" w:hAnsi="Georgia" w:eastAsia="Georgia"/>
          <w:b w:val="0"/>
          <w:i/>
          <w:color w:val="000000"/>
          <w:sz w:val="22"/>
        </w:rPr>
        <w:t>“Potential”</w:t>
      </w:r>
      <w:r>
        <w:rPr>
          <w:rFonts w:ascii="Georgia" w:hAnsi="Georgia" w:eastAsia="Georgia"/>
          <w:b w:val="0"/>
          <w:i w:val="0"/>
          <w:color w:val="000000"/>
          <w:sz w:val="22"/>
        </w:rPr>
        <w:t xml:space="preserve"> naming the research object itself (e.g., </w:t>
      </w:r>
      <w:r>
        <w:rPr>
          <w:rFonts w:ascii="Georgia" w:hAnsi="Georgia" w:eastAsia="Georgia"/>
          <w:b w:val="0"/>
          <w:i/>
          <w:color w:val="000000"/>
          <w:sz w:val="22"/>
        </w:rPr>
        <w:t>“assessed the potential of X”</w:t>
      </w:r>
      <w:r>
        <w:rPr>
          <w:rFonts w:ascii="Georgia" w:hAnsi="Georgia" w:eastAsia="Georgia"/>
          <w:b w:val="0"/>
          <w:i w:val="0"/>
          <w:color w:val="000000"/>
          <w:sz w:val="22"/>
        </w:rPr>
        <w:t xml:space="preserve">) is not markable, it names a topic rather than qualifying a claim. </w:t>
      </w:r>
      <w:r>
        <w:rPr>
          <w:rFonts w:ascii="Georgia" w:hAnsi="Georgia" w:eastAsia="Georgia"/>
          <w:b w:val="0"/>
          <w:i/>
          <w:color w:val="000000"/>
          <w:sz w:val="22"/>
        </w:rPr>
        <w:t>Stricter rule for “potential + noun” constructions: if the phrase sits in an introduction/rationale sentence (motivating why the topic matters, before any data is presented), treat as topic-naming (FP-Gen) regardless of the verb used. If it sits in a results/conclusion sentence qualifying a claim about findings, treat as a Lexical hedge (EC). The distinction is structural position, not verb choice.</w:t>
      </w:r>
    </w:p>
    <w:p>
      <w:pPr>
        <w:keepNext/>
        <w:keepLines/>
        <w:spacing w:before="240" w:after="240" w:line="480" w:lineRule="auto"/>
        <w:jc w:val="left"/>
      </w:pPr>
      <w:r>
        <w:rPr>
          <w:rFonts w:ascii="Georgia" w:hAnsi="Georgia" w:eastAsia="Georgia"/>
          <w:b/>
          <w:i w:val="0"/>
          <w:sz w:val="24"/>
        </w:rPr>
        <w:t>LAYER 2: HEDGE FUNCTION (COLORED TEXT LABELS)</w:t>
      </w:r>
    </w:p>
    <w:p>
      <w:pPr>
        <w:spacing w:line="480" w:lineRule="auto" w:before="0" w:after="0"/>
        <w:ind w:firstLine="720"/>
        <w:jc w:val="both"/>
      </w:pPr>
      <w:r>
        <w:rPr>
          <w:rFonts w:ascii="Georgia" w:hAnsi="Georgia" w:eastAsia="Georgia"/>
          <w:b w:val="0"/>
          <w:i w:val="0"/>
          <w:sz w:val="22"/>
        </w:rPr>
        <w:t>Not a highlight. Write the function label beside the token in that function’s color of text. The token keeps only its Layer 1 highlight.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rPr>
        <w:tc>
          <w:tcPr>
            <w:tcW w:type="dxa" w:w="2076"/>
            <w:shd w:val="clear" w:color="auto" w:fill="F2F4F6"/>
            <w:tcW w:w="700" w:type="dxa"/>
          </w:tcPr>
          <w:p>
            <w:pPr>
              <w:spacing w:before="40" w:after="40" w:line="240" w:lineRule="auto"/>
              <w:jc w:val="left"/>
            </w:pPr>
            <w:r>
              <w:rPr>
                <w:rFonts w:ascii="Georgia" w:hAnsi="Georgia" w:eastAsia="Georgia"/>
                <w:b/>
                <w:sz w:val="20"/>
              </w:rPr>
              <w:t>Label</w:t>
            </w:r>
          </w:p>
        </w:tc>
        <w:tc>
          <w:tcPr>
            <w:tcW w:type="dxa" w:w="2076"/>
            <w:shd w:val="clear" w:color="auto" w:fill="F2F4F6"/>
            <w:tcW w:w="1800" w:type="dxa"/>
          </w:tcPr>
          <w:p>
            <w:pPr>
              <w:spacing w:before="40" w:after="40" w:line="240" w:lineRule="auto"/>
              <w:jc w:val="left"/>
            </w:pPr>
            <w:r>
              <w:rPr>
                <w:rFonts w:ascii="Georgia" w:hAnsi="Georgia" w:eastAsia="Georgia"/>
                <w:b/>
                <w:sz w:val="20"/>
              </w:rPr>
              <w:t>Function</w:t>
            </w:r>
          </w:p>
        </w:tc>
        <w:tc>
          <w:tcPr>
            <w:tcW w:type="dxa" w:w="2076"/>
            <w:shd w:val="clear" w:color="auto" w:fill="F2F4F6"/>
            <w:tcW w:w="2400" w:type="dxa"/>
          </w:tcPr>
          <w:p>
            <w:pPr>
              <w:spacing w:before="40" w:after="40" w:line="240" w:lineRule="auto"/>
              <w:jc w:val="left"/>
            </w:pPr>
            <w:r>
              <w:rPr>
                <w:rFonts w:ascii="Georgia" w:hAnsi="Georgia" w:eastAsia="Georgia"/>
                <w:b/>
                <w:sz w:val="20"/>
              </w:rPr>
              <w:t>Definition</w:t>
            </w:r>
          </w:p>
        </w:tc>
        <w:tc>
          <w:tcPr>
            <w:tcW w:type="dxa" w:w="2076"/>
            <w:shd w:val="clear" w:color="auto" w:fill="F2F4F6"/>
            <w:tcW w:w="2600" w:type="dxa"/>
          </w:tcPr>
          <w:p>
            <w:pPr>
              <w:spacing w:before="40" w:after="40" w:line="240" w:lineRule="auto"/>
              <w:jc w:val="left"/>
            </w:pPr>
            <w:r>
              <w:rPr>
                <w:rFonts w:ascii="Georgia" w:hAnsi="Georgia" w:eastAsia="Georgia"/>
                <w:b/>
                <w:sz w:val="20"/>
              </w:rPr>
              <w:t>Marked Example</w:t>
            </w:r>
          </w:p>
        </w:tc>
      </w:tr>
      <w:tr>
        <w:trPr>
          <w:cantSplit/>
        </w:trPr>
        <w:tc>
          <w:tcPr>
            <w:tcW w:type="dxa" w:w="2076"/>
            <w:tcW w:w="700" w:type="dxa"/>
          </w:tcPr>
          <w:p>
            <w:pPr>
              <w:spacing w:before="40" w:after="40" w:line="240" w:lineRule="auto"/>
              <w:jc w:val="left"/>
            </w:pPr>
            <w:r>
              <w:rPr>
                <w:rFonts w:ascii="Georgia" w:hAnsi="Georgia" w:eastAsia="Georgia"/>
                <w:b/>
                <w:i w:val="0"/>
                <w:color w:val="ED7D31"/>
                <w:sz w:val="20"/>
              </w:rPr>
              <w:t>EC</w:t>
            </w:r>
          </w:p>
        </w:tc>
        <w:tc>
          <w:tcPr>
            <w:tcW w:type="dxa" w:w="2076"/>
            <w:tcW w:w="1800" w:type="dxa"/>
          </w:tcPr>
          <w:p>
            <w:pPr>
              <w:spacing w:before="40" w:after="40" w:line="240" w:lineRule="auto"/>
              <w:jc w:val="left"/>
            </w:pPr>
            <w:r>
              <w:rPr>
                <w:rFonts w:ascii="Georgia" w:hAnsi="Georgia" w:eastAsia="Georgia"/>
                <w:sz w:val="20"/>
              </w:rPr>
              <w:t>Epistemic Caution</w:t>
            </w:r>
          </w:p>
        </w:tc>
        <w:tc>
          <w:tcPr>
            <w:tcW w:type="dxa" w:w="2076"/>
            <w:tcW w:w="2400" w:type="dxa"/>
          </w:tcPr>
          <w:p>
            <w:pPr>
              <w:spacing w:before="40" w:after="40" w:line="240" w:lineRule="auto"/>
              <w:jc w:val="left"/>
            </w:pPr>
            <w:r>
              <w:rPr>
                <w:rFonts w:ascii="Georgia" w:hAnsi="Georgia" w:eastAsia="Georgia"/>
                <w:sz w:val="20"/>
              </w:rPr>
              <w:t>Expresses uncertainty about a claim’s truth.</w:t>
            </w:r>
          </w:p>
        </w:tc>
        <w:tc>
          <w:tcPr>
            <w:tcW w:type="dxa" w:w="2076"/>
            <w:tcW w:w="2600" w:type="dxa"/>
          </w:tcPr>
          <w:p>
            <w:pPr>
              <w:spacing w:before="40" w:after="40" w:line="240" w:lineRule="auto"/>
              <w:jc w:val="left"/>
            </w:pPr>
            <w:r>
              <w:rPr>
                <w:rFonts w:ascii="Georgia" w:hAnsi="Georgia" w:eastAsia="Georgia"/>
                <w:b w:val="0"/>
                <w:i w:val="0"/>
                <w:color w:val="000000"/>
                <w:sz w:val="20"/>
              </w:rPr>
              <w:t xml:space="preserve">“The treatment </w:t>
            </w:r>
            <w:r>
              <w:rPr>
                <w:rFonts w:ascii="Georgia" w:hAnsi="Georgia" w:eastAsia="Georgia"/>
                <w:b/>
                <w:strike w:val="0"/>
                <w:color w:val="000000"/>
                <w:sz w:val="20"/>
                <w:shd w:val="clear" w:color="auto" w:fill="00B0F0"/>
              </w:rPr>
              <w:t>may</w:t>
            </w:r>
            <w:r>
              <w:rPr>
                <w:rFonts w:ascii="Georgia" w:hAnsi="Georgia" w:eastAsia="Georgia"/>
                <w:b w:val="0"/>
                <w:i w:val="0"/>
                <w:color w:val="000000"/>
                <w:sz w:val="20"/>
              </w:rPr>
              <w:t xml:space="preserve"> reduce infection rates. </w:t>
            </w:r>
            <w:r>
              <w:rPr>
                <w:rFonts w:ascii="Georgia" w:hAnsi="Georgia" w:eastAsia="Georgia"/>
                <w:b/>
                <w:i w:val="0"/>
                <w:color w:val="ED7D31"/>
                <w:sz w:val="20"/>
              </w:rPr>
              <w:t>(EC)</w:t>
            </w:r>
            <w:r>
              <w:rPr>
                <w:rFonts w:ascii="Georgia" w:hAnsi="Georgia" w:eastAsia="Georgia"/>
                <w:b w:val="0"/>
                <w:i w:val="0"/>
                <w:color w:val="000000"/>
                <w:sz w:val="20"/>
              </w:rPr>
              <w:t>”</w:t>
            </w:r>
          </w:p>
        </w:tc>
      </w:tr>
      <w:tr>
        <w:trPr>
          <w:cantSplit/>
        </w:trPr>
        <w:tc>
          <w:tcPr>
            <w:tcW w:type="dxa" w:w="2076"/>
            <w:tcW w:w="700" w:type="dxa"/>
          </w:tcPr>
          <w:p>
            <w:pPr>
              <w:spacing w:before="40" w:after="40" w:line="240" w:lineRule="auto"/>
              <w:jc w:val="left"/>
            </w:pPr>
            <w:r>
              <w:rPr>
                <w:rFonts w:ascii="Georgia" w:hAnsi="Georgia" w:eastAsia="Georgia"/>
                <w:b/>
                <w:i w:val="0"/>
                <w:color w:val="7030A0"/>
                <w:sz w:val="20"/>
              </w:rPr>
              <w:t>P</w:t>
            </w:r>
          </w:p>
        </w:tc>
        <w:tc>
          <w:tcPr>
            <w:tcW w:type="dxa" w:w="2076"/>
            <w:tcW w:w="1800" w:type="dxa"/>
          </w:tcPr>
          <w:p>
            <w:pPr>
              <w:spacing w:before="40" w:after="40" w:line="240" w:lineRule="auto"/>
              <w:jc w:val="left"/>
            </w:pPr>
            <w:r>
              <w:rPr>
                <w:rFonts w:ascii="Georgia" w:hAnsi="Georgia" w:eastAsia="Georgia"/>
                <w:sz w:val="20"/>
              </w:rPr>
              <w:t>Politeness / Deference</w:t>
            </w:r>
          </w:p>
        </w:tc>
        <w:tc>
          <w:tcPr>
            <w:tcW w:type="dxa" w:w="2076"/>
            <w:tcW w:w="2400" w:type="dxa"/>
          </w:tcPr>
          <w:p>
            <w:pPr>
              <w:spacing w:before="40" w:after="40" w:line="240" w:lineRule="auto"/>
              <w:jc w:val="left"/>
            </w:pPr>
            <w:r>
              <w:rPr>
                <w:rFonts w:ascii="Georgia" w:hAnsi="Georgia" w:eastAsia="Georgia"/>
                <w:sz w:val="20"/>
              </w:rPr>
              <w:t>Shows respect to readers or prior research.</w:t>
            </w:r>
          </w:p>
        </w:tc>
        <w:tc>
          <w:tcPr>
            <w:tcW w:type="dxa" w:w="2076"/>
            <w:tcW w:w="2600" w:type="dxa"/>
          </w:tcPr>
          <w:p>
            <w:pPr>
              <w:spacing w:before="40" w:after="40" w:line="240" w:lineRule="auto"/>
              <w:jc w:val="left"/>
            </w:pPr>
            <w:r>
              <w:rPr>
                <w:rFonts w:ascii="Georgia" w:hAnsi="Georgia" w:eastAsia="Georgia"/>
                <w:b w:val="0"/>
                <w:i w:val="0"/>
                <w:color w:val="000000"/>
                <w:sz w:val="20"/>
              </w:rPr>
              <w:t xml:space="preserve">“As </w:t>
            </w:r>
            <w:r>
              <w:rPr>
                <w:rFonts w:ascii="Georgia" w:hAnsi="Georgia" w:eastAsia="Georgia"/>
                <w:b/>
                <w:strike w:val="0"/>
                <w:color w:val="FFFFFF"/>
                <w:sz w:val="20"/>
                <w:shd w:val="clear" w:color="auto" w:fill="FF0000"/>
              </w:rPr>
              <w:t>suggested</w:t>
            </w:r>
            <w:r>
              <w:rPr>
                <w:rFonts w:ascii="Georgia" w:hAnsi="Georgia" w:eastAsia="Georgia"/>
                <w:b w:val="0"/>
                <w:i w:val="0"/>
                <w:color w:val="000000"/>
                <w:sz w:val="20"/>
              </w:rPr>
              <w:t xml:space="preserve"> by Hyland (1998). </w:t>
            </w:r>
            <w:r>
              <w:rPr>
                <w:rFonts w:ascii="Georgia" w:hAnsi="Georgia" w:eastAsia="Georgia"/>
                <w:b/>
                <w:i w:val="0"/>
                <w:color w:val="7030A0"/>
                <w:sz w:val="20"/>
              </w:rPr>
              <w:t>(P)</w:t>
            </w:r>
            <w:r>
              <w:rPr>
                <w:rFonts w:ascii="Georgia" w:hAnsi="Georgia" w:eastAsia="Georgia"/>
                <w:b w:val="0"/>
                <w:i w:val="0"/>
                <w:color w:val="000000"/>
                <w:sz w:val="20"/>
              </w:rPr>
              <w:t>”</w:t>
            </w:r>
          </w:p>
        </w:tc>
      </w:tr>
      <w:tr>
        <w:trPr>
          <w:cantSplit/>
        </w:trPr>
        <w:tc>
          <w:tcPr>
            <w:tcW w:type="dxa" w:w="2076"/>
            <w:tcW w:w="700" w:type="dxa"/>
          </w:tcPr>
          <w:p>
            <w:pPr>
              <w:spacing w:before="40" w:after="40" w:line="240" w:lineRule="auto"/>
              <w:jc w:val="left"/>
            </w:pPr>
            <w:r>
              <w:rPr>
                <w:rFonts w:ascii="Georgia" w:hAnsi="Georgia" w:eastAsia="Georgia"/>
                <w:b/>
                <w:i w:val="0"/>
                <w:color w:val="00B0F0"/>
                <w:sz w:val="20"/>
              </w:rPr>
              <w:t>DO</w:t>
            </w:r>
          </w:p>
        </w:tc>
        <w:tc>
          <w:tcPr>
            <w:tcW w:type="dxa" w:w="2076"/>
            <w:tcW w:w="1800" w:type="dxa"/>
          </w:tcPr>
          <w:p>
            <w:pPr>
              <w:spacing w:before="40" w:after="40" w:line="240" w:lineRule="auto"/>
              <w:jc w:val="left"/>
            </w:pPr>
            <w:r>
              <w:rPr>
                <w:rFonts w:ascii="Georgia" w:hAnsi="Georgia" w:eastAsia="Georgia"/>
                <w:sz w:val="20"/>
              </w:rPr>
              <w:t>Discourse Organization</w:t>
            </w:r>
          </w:p>
        </w:tc>
        <w:tc>
          <w:tcPr>
            <w:tcW w:type="dxa" w:w="2076"/>
            <w:tcW w:w="2400" w:type="dxa"/>
          </w:tcPr>
          <w:p>
            <w:pPr>
              <w:spacing w:before="40" w:after="40" w:line="240" w:lineRule="auto"/>
              <w:jc w:val="left"/>
            </w:pPr>
            <w:r>
              <w:rPr>
                <w:rFonts w:ascii="Georgia" w:hAnsi="Georgia" w:eastAsia="Georgia"/>
                <w:sz w:val="20"/>
              </w:rPr>
              <w:t>Structures text or guides reader expectations.</w:t>
            </w:r>
          </w:p>
        </w:tc>
        <w:tc>
          <w:tcPr>
            <w:tcW w:type="dxa" w:w="2076"/>
            <w:tcW w:w="26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FFFFFF"/>
                <w:sz w:val="20"/>
                <w:shd w:val="clear" w:color="auto" w:fill="00B050"/>
              </w:rPr>
              <w:t>It should be noted that</w:t>
            </w:r>
            <w:r>
              <w:rPr>
                <w:rFonts w:ascii="Georgia" w:hAnsi="Georgia" w:eastAsia="Georgia"/>
                <w:b w:val="0"/>
                <w:i w:val="0"/>
                <w:color w:val="000000"/>
                <w:sz w:val="20"/>
              </w:rPr>
              <w:t xml:space="preserve">. </w:t>
            </w:r>
            <w:r>
              <w:rPr>
                <w:rFonts w:ascii="Georgia" w:hAnsi="Georgia" w:eastAsia="Georgia"/>
                <w:b/>
                <w:i w:val="0"/>
                <w:color w:val="00B0F0"/>
                <w:sz w:val="20"/>
              </w:rPr>
              <w:t>(DO)</w:t>
            </w:r>
            <w:r>
              <w:rPr>
                <w:rFonts w:ascii="Georgia" w:hAnsi="Georgia" w:eastAsia="Georgia"/>
                <w:b w:val="0"/>
                <w:i w:val="0"/>
                <w:color w:val="000000"/>
                <w:sz w:val="20"/>
              </w:rPr>
              <w:t>”</w:t>
            </w:r>
          </w:p>
        </w:tc>
      </w:tr>
    </w:tbl>
    <w:p>
      <w:pPr>
        <w:keepNext/>
        <w:keepLines/>
        <w:spacing w:before="240" w:after="240" w:line="480" w:lineRule="auto"/>
        <w:jc w:val="left"/>
      </w:pPr>
      <w:r>
        <w:rPr>
          <w:rFonts w:ascii="Georgia" w:hAnsi="Georgia" w:eastAsia="Georgia"/>
          <w:b/>
          <w:i w:val="0"/>
          <w:sz w:val="24"/>
        </w:rPr>
        <w:t>DECISION RULES FOR AMBIGUOUS CASES</w:t>
      </w:r>
    </w:p>
    <w:p>
      <w:pPr>
        <w:spacing w:line="480" w:lineRule="auto" w:before="0" w:after="0"/>
        <w:ind w:firstLine="720"/>
        <w:jc w:val="both"/>
      </w:pPr>
      <w:r>
        <w:rPr>
          <w:rFonts w:ascii="Georgia" w:hAnsi="Georgia" w:eastAsia="Georgia"/>
          <w:b w:val="0"/>
          <w:i w:val="0"/>
          <w:sz w:val="22"/>
        </w:rPr>
        <w:t>Apply before defaulting to the Working Test.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769"/>
        <w:gridCol w:w="2769"/>
        <w:gridCol w:w="2769"/>
      </w:tblGrid>
      <w:tr>
        <w:trPr>
          <w:cantSplit/>
        </w:trPr>
        <w:tc>
          <w:tcPr>
            <w:tcW w:type="dxa" w:w="2769"/>
            <w:shd w:val="clear" w:color="auto" w:fill="F2F4F6"/>
            <w:tcW w:w="2000" w:type="dxa"/>
          </w:tcPr>
          <w:p>
            <w:pPr>
              <w:spacing w:before="40" w:after="40" w:line="240" w:lineRule="auto"/>
              <w:jc w:val="left"/>
            </w:pPr>
            <w:r>
              <w:rPr>
                <w:rFonts w:ascii="Georgia" w:hAnsi="Georgia" w:eastAsia="Georgia"/>
                <w:b/>
                <w:sz w:val="20"/>
              </w:rPr>
              <w:t>Token</w:t>
            </w:r>
          </w:p>
        </w:tc>
        <w:tc>
          <w:tcPr>
            <w:tcW w:type="dxa" w:w="2769"/>
            <w:shd w:val="clear" w:color="auto" w:fill="F2F4F6"/>
            <w:tcW w:w="2750" w:type="dxa"/>
          </w:tcPr>
          <w:p>
            <w:pPr>
              <w:spacing w:before="40" w:after="40" w:line="240" w:lineRule="auto"/>
              <w:jc w:val="left"/>
            </w:pPr>
            <w:r>
              <w:rPr>
                <w:rFonts w:ascii="Georgia" w:hAnsi="Georgia" w:eastAsia="Georgia"/>
                <w:b/>
                <w:sz w:val="20"/>
              </w:rPr>
              <w:t>Hedge When</w:t>
            </w:r>
          </w:p>
        </w:tc>
        <w:tc>
          <w:tcPr>
            <w:tcW w:type="dxa" w:w="2769"/>
            <w:shd w:val="clear" w:color="auto" w:fill="F2F4F6"/>
            <w:tcW w:w="2750" w:type="dxa"/>
          </w:tcPr>
          <w:p>
            <w:pPr>
              <w:spacing w:before="40" w:after="40" w:line="240" w:lineRule="auto"/>
              <w:jc w:val="left"/>
            </w:pPr>
            <w:r>
              <w:rPr>
                <w:rFonts w:ascii="Georgia" w:hAnsi="Georgia" w:eastAsia="Georgia"/>
                <w:b/>
                <w:sz w:val="20"/>
              </w:rPr>
              <w:t>Not a Hedge When</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suggest / indicate</w:t>
            </w:r>
          </w:p>
        </w:tc>
        <w:tc>
          <w:tcPr>
            <w:tcW w:type="dxa" w:w="2769"/>
            <w:tcW w:w="2750" w:type="dxa"/>
          </w:tcPr>
          <w:p>
            <w:pPr>
              <w:spacing w:before="40" w:after="40" w:line="240" w:lineRule="auto"/>
              <w:jc w:val="left"/>
            </w:pPr>
            <w:r>
              <w:rPr>
                <w:rFonts w:ascii="Georgia" w:hAnsi="Georgia" w:eastAsia="Georgia"/>
                <w:sz w:val="20"/>
              </w:rPr>
              <w:t>Expresses uncertainty about a finding or conclusion</w:t>
            </w:r>
          </w:p>
        </w:tc>
        <w:tc>
          <w:tcPr>
            <w:tcW w:type="dxa" w:w="2769"/>
            <w:tcW w:w="2750" w:type="dxa"/>
          </w:tcPr>
          <w:p>
            <w:pPr>
              <w:spacing w:before="40" w:after="40" w:line="240" w:lineRule="auto"/>
              <w:jc w:val="left"/>
            </w:pPr>
            <w:r>
              <w:rPr>
                <w:rFonts w:ascii="Georgia" w:hAnsi="Georgia" w:eastAsia="Georgia"/>
                <w:sz w:val="20"/>
              </w:rPr>
              <w:t>Introduces a recommendation or action</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suggest / indicate + need for</w:t>
            </w:r>
          </w:p>
        </w:tc>
        <w:tc>
          <w:tcPr>
            <w:tcW w:type="dxa" w:w="2769"/>
            <w:tcW w:w="2750" w:type="dxa"/>
          </w:tcPr>
          <w:p>
            <w:pPr>
              <w:spacing w:before="40" w:after="40" w:line="240" w:lineRule="auto"/>
              <w:jc w:val="left"/>
            </w:pPr>
            <w:r>
              <w:rPr>
                <w:rFonts w:ascii="Georgia" w:hAnsi="Georgia" w:eastAsia="Georgia"/>
                <w:sz w:val="20"/>
              </w:rPr>
              <w:t>Says the evidence suggests a need may exist</w:t>
            </w:r>
          </w:p>
        </w:tc>
        <w:tc>
          <w:tcPr>
            <w:tcW w:type="dxa" w:w="2769"/>
            <w:tcW w:w="2750" w:type="dxa"/>
          </w:tcPr>
          <w:p>
            <w:pPr>
              <w:spacing w:before="40" w:after="40" w:line="240" w:lineRule="auto"/>
              <w:jc w:val="left"/>
            </w:pPr>
            <w:r>
              <w:rPr>
                <w:rFonts w:ascii="Georgia" w:hAnsi="Georgia" w:eastAsia="Georgia"/>
                <w:sz w:val="20"/>
              </w:rPr>
              <w:t>Says what should be done or is needed</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indicated by</w:t>
            </w:r>
          </w:p>
        </w:tc>
        <w:tc>
          <w:tcPr>
            <w:tcW w:type="dxa" w:w="2769"/>
            <w:tcW w:w="2750" w:type="dxa"/>
          </w:tcPr>
          <w:p>
            <w:pPr>
              <w:spacing w:before="40" w:after="40" w:line="240" w:lineRule="auto"/>
              <w:jc w:val="left"/>
            </w:pPr>
            <w:r>
              <w:rPr>
                <w:rFonts w:ascii="Georgia" w:hAnsi="Georgia" w:eastAsia="Georgia"/>
                <w:sz w:val="20"/>
              </w:rPr>
              <w:t>Introduces a conclusion drawn from evidence</w:t>
            </w:r>
          </w:p>
        </w:tc>
        <w:tc>
          <w:tcPr>
            <w:tcW w:type="dxa" w:w="2769"/>
            <w:tcW w:w="2750" w:type="dxa"/>
          </w:tcPr>
          <w:p>
            <w:pPr>
              <w:spacing w:before="40" w:after="40" w:line="240" w:lineRule="auto"/>
              <w:jc w:val="left"/>
            </w:pPr>
            <w:r>
              <w:rPr>
                <w:rFonts w:ascii="Georgia" w:hAnsi="Georgia" w:eastAsia="Georgia"/>
                <w:sz w:val="20"/>
              </w:rPr>
              <w:t>Points to evidence for a claim already stated</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indicate / indicates that</w:t>
            </w:r>
          </w:p>
        </w:tc>
        <w:tc>
          <w:tcPr>
            <w:tcW w:type="dxa" w:w="2769"/>
            <w:tcW w:w="2750" w:type="dxa"/>
          </w:tcPr>
          <w:p>
            <w:pPr>
              <w:spacing w:before="40" w:after="40" w:line="240" w:lineRule="auto"/>
              <w:jc w:val="left"/>
            </w:pPr>
            <w:r>
              <w:rPr>
                <w:rFonts w:ascii="Georgia" w:hAnsi="Georgia" w:eastAsia="Georgia"/>
                <w:sz w:val="20"/>
              </w:rPr>
              <w:t>Introduces an inferential conclusion drawn from analysis</w:t>
            </w:r>
          </w:p>
        </w:tc>
        <w:tc>
          <w:tcPr>
            <w:tcW w:type="dxa" w:w="2769"/>
            <w:tcW w:w="2750" w:type="dxa"/>
          </w:tcPr>
          <w:p>
            <w:pPr>
              <w:spacing w:before="40" w:after="40" w:line="240" w:lineRule="auto"/>
              <w:jc w:val="left"/>
            </w:pPr>
            <w:r>
              <w:rPr>
                <w:rFonts w:ascii="Georgia" w:hAnsi="Georgia" w:eastAsia="Georgia"/>
                <w:sz w:val="20"/>
              </w:rPr>
              <w:t>Used as a synonym for showed/demonstrated (factive reporting)</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indicating (participial)</w:t>
            </w:r>
          </w:p>
        </w:tc>
        <w:tc>
          <w:tcPr>
            <w:tcW w:type="dxa" w:w="2769"/>
            <w:tcW w:w="2750" w:type="dxa"/>
          </w:tcPr>
          <w:p>
            <w:pPr>
              <w:spacing w:before="40" w:after="40" w:line="240" w:lineRule="auto"/>
              <w:jc w:val="left"/>
            </w:pPr>
            <w:r>
              <w:rPr>
                <w:rFonts w:ascii="Georgia" w:hAnsi="Georgia" w:eastAsia="Georgia"/>
                <w:sz w:val="20"/>
              </w:rPr>
              <w:t>Introduces an inference beyond the operational definition of the result</w:t>
            </w:r>
          </w:p>
        </w:tc>
        <w:tc>
          <w:tcPr>
            <w:tcW w:type="dxa" w:w="2769"/>
            <w:tcW w:w="2750" w:type="dxa"/>
          </w:tcPr>
          <w:p>
            <w:pPr>
              <w:spacing w:before="40" w:after="40" w:line="240" w:lineRule="auto"/>
              <w:jc w:val="left"/>
            </w:pPr>
            <w:r>
              <w:rPr>
                <w:rFonts w:ascii="Georgia" w:hAnsi="Georgia" w:eastAsia="Georgia"/>
                <w:sz w:val="20"/>
              </w:rPr>
              <w:t>Restates the operational meaning of statistical significance</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can / may</w:t>
            </w:r>
          </w:p>
        </w:tc>
        <w:tc>
          <w:tcPr>
            <w:tcW w:type="dxa" w:w="2769"/>
            <w:tcW w:w="2750" w:type="dxa"/>
          </w:tcPr>
          <w:p>
            <w:pPr>
              <w:spacing w:before="40" w:after="40" w:line="240" w:lineRule="auto"/>
              <w:jc w:val="left"/>
            </w:pPr>
            <w:r>
              <w:rPr>
                <w:rFonts w:ascii="Georgia" w:hAnsi="Georgia" w:eastAsia="Georgia"/>
                <w:sz w:val="20"/>
              </w:rPr>
              <w:t>Expresses possibility</w:t>
            </w:r>
          </w:p>
        </w:tc>
        <w:tc>
          <w:tcPr>
            <w:tcW w:type="dxa" w:w="2769"/>
            <w:tcW w:w="2750" w:type="dxa"/>
          </w:tcPr>
          <w:p>
            <w:pPr>
              <w:spacing w:before="40" w:after="40" w:line="240" w:lineRule="auto"/>
              <w:jc w:val="left"/>
            </w:pPr>
            <w:r>
              <w:rPr>
                <w:rFonts w:ascii="Georgia" w:hAnsi="Georgia" w:eastAsia="Georgia"/>
                <w:sz w:val="20"/>
              </w:rPr>
              <w:t>Expresses capability</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generally / typically</w:t>
            </w:r>
          </w:p>
        </w:tc>
        <w:tc>
          <w:tcPr>
            <w:tcW w:type="dxa" w:w="2769"/>
            <w:tcW w:w="2750" w:type="dxa"/>
          </w:tcPr>
          <w:p>
            <w:pPr>
              <w:spacing w:before="40" w:after="40" w:line="240" w:lineRule="auto"/>
              <w:jc w:val="left"/>
            </w:pPr>
            <w:r>
              <w:rPr>
                <w:rFonts w:ascii="Georgia" w:hAnsi="Georgia" w:eastAsia="Georgia"/>
                <w:sz w:val="20"/>
              </w:rPr>
              <w:t>Qualifies scope</w:t>
            </w:r>
          </w:p>
        </w:tc>
        <w:tc>
          <w:tcPr>
            <w:tcW w:type="dxa" w:w="2769"/>
            <w:tcW w:w="2750" w:type="dxa"/>
          </w:tcPr>
          <w:p>
            <w:pPr>
              <w:spacing w:before="40" w:after="40" w:line="240" w:lineRule="auto"/>
              <w:jc w:val="left"/>
            </w:pPr>
            <w:r>
              <w:rPr>
                <w:rFonts w:ascii="Georgia" w:hAnsi="Georgia" w:eastAsia="Georgia"/>
                <w:sz w:val="20"/>
              </w:rPr>
              <w:t>Describes a procedural norm</w:t>
            </w:r>
          </w:p>
        </w:tc>
      </w:tr>
      <w:tr>
        <w:trPr>
          <w:cantSplit/>
        </w:trPr>
        <w:tc>
          <w:tcPr>
            <w:tcW w:type="dxa" w:w="2769"/>
            <w:tcW w:w="2000" w:type="dxa"/>
          </w:tcPr>
          <w:p>
            <w:pPr>
              <w:spacing w:before="40" w:after="40" w:line="240" w:lineRule="auto"/>
              <w:jc w:val="left"/>
            </w:pPr>
            <w:r>
              <w:rPr>
                <w:rFonts w:ascii="Georgia" w:hAnsi="Georgia" w:eastAsia="Georgia"/>
                <w:b/>
                <w:i w:val="0"/>
                <w:color w:val="000000"/>
                <w:sz w:val="20"/>
              </w:rPr>
              <w:t>appear / seem</w:t>
            </w:r>
          </w:p>
        </w:tc>
        <w:tc>
          <w:tcPr>
            <w:tcW w:type="dxa" w:w="2769"/>
            <w:tcW w:w="2750" w:type="dxa"/>
          </w:tcPr>
          <w:p>
            <w:pPr>
              <w:spacing w:before="40" w:after="40" w:line="240" w:lineRule="auto"/>
              <w:jc w:val="left"/>
            </w:pPr>
            <w:r>
              <w:rPr>
                <w:rFonts w:ascii="Georgia" w:hAnsi="Georgia" w:eastAsia="Georgia"/>
                <w:sz w:val="20"/>
              </w:rPr>
              <w:t>Expresses result uncertainty</w:t>
            </w:r>
          </w:p>
        </w:tc>
        <w:tc>
          <w:tcPr>
            <w:tcW w:type="dxa" w:w="2769"/>
            <w:tcW w:w="2750" w:type="dxa"/>
          </w:tcPr>
          <w:p>
            <w:pPr>
              <w:spacing w:before="40" w:after="40" w:line="240" w:lineRule="auto"/>
              <w:jc w:val="left"/>
            </w:pPr>
            <w:r>
              <w:rPr>
                <w:rFonts w:ascii="Georgia" w:hAnsi="Georgia" w:eastAsia="Georgia"/>
                <w:sz w:val="20"/>
              </w:rPr>
              <w:t>Indicates location</w:t>
            </w:r>
          </w:p>
        </w:tc>
      </w:tr>
    </w:tbl>
    <w:p>
      <w:pPr>
        <w:spacing w:before="0" w:after="0" w:line="240" w:lineRule="auto"/>
      </w:pPr>
      <w:r>
        <w:rPr>
          <w:rFonts w:ascii="Georgia" w:hAnsi="Georgia" w:eastAsia="Georgia"/>
          <w:b w:val="0"/>
          <w:i w:val="0"/>
          <w:sz w:val="22"/>
        </w:rPr>
      </w:r>
    </w:p>
    <w:p>
      <w:pPr>
        <w:spacing w:line="480" w:lineRule="auto"/>
        <w:ind w:firstLine="720"/>
        <w:jc w:val="both"/>
      </w:pPr>
      <w:r>
        <w:rPr>
          <w:rFonts w:ascii="Georgia" w:hAnsi="Georgia" w:eastAsia="Georgia"/>
          <w:b/>
          <w:i/>
          <w:color w:val="000000"/>
          <w:sz w:val="22"/>
        </w:rPr>
        <w:t xml:space="preserve">General exclusions: </w:t>
      </w:r>
      <w:r>
        <w:rPr>
          <w:rFonts w:ascii="Georgia" w:hAnsi="Georgia" w:eastAsia="Georgia"/>
          <w:b w:val="0"/>
          <w:i/>
          <w:color w:val="000000"/>
          <w:sz w:val="22"/>
        </w:rPr>
        <w:t>ability, future procedure, and procedural necessity (a step required by the procedure itself) are never coded as hedges.</w:t>
      </w:r>
    </w:p>
    <w:p>
      <w:pPr>
        <w:spacing w:line="480" w:lineRule="auto"/>
        <w:ind w:firstLine="720"/>
        <w:jc w:val="both"/>
      </w:pPr>
      <w:r>
        <w:rPr>
          <w:rFonts w:ascii="Georgia" w:hAnsi="Georgia" w:eastAsia="Georgia"/>
          <w:b w:val="0"/>
          <w:i/>
          <w:color w:val="000000"/>
          <w:sz w:val="22"/>
        </w:rPr>
        <w:t xml:space="preserve">Quick test for </w:t>
      </w:r>
      <w:r>
        <w:rPr>
          <w:rFonts w:ascii="Georgia" w:hAnsi="Georgia" w:eastAsia="Georgia"/>
          <w:b/>
          <w:i/>
          <w:color w:val="000000"/>
          <w:sz w:val="22"/>
        </w:rPr>
        <w:t>suggest/indicate</w:t>
      </w:r>
      <w:r>
        <w:rPr>
          <w:rFonts w:ascii="Georgia" w:hAnsi="Georgia" w:eastAsia="Georgia"/>
          <w:b w:val="0"/>
          <w:i/>
          <w:color w:val="000000"/>
          <w:sz w:val="22"/>
        </w:rPr>
        <w:t>: “Might this be true?” = hedge. “Should this be done?” = FP-Rec.</w:t>
      </w:r>
    </w:p>
    <w:p>
      <w:pPr>
        <w:keepNext/>
        <w:keepLines/>
        <w:spacing w:before="240" w:after="240" w:line="480" w:lineRule="auto"/>
        <w:jc w:val="left"/>
      </w:pPr>
      <w:r>
        <w:rPr>
          <w:rFonts w:ascii="Georgia" w:hAnsi="Georgia" w:eastAsia="Georgia"/>
          <w:b/>
          <w:i w:val="0"/>
          <w:sz w:val="24"/>
        </w:rPr>
        <w:t>MARKING FALSE POSITIVES</w:t>
      </w:r>
    </w:p>
    <w:p>
      <w:pPr>
        <w:spacing w:line="480" w:lineRule="auto" w:before="0" w:after="0"/>
        <w:ind w:firstLine="720"/>
        <w:jc w:val="both"/>
      </w:pPr>
      <w:r>
        <w:rPr>
          <w:rFonts w:ascii="Georgia" w:hAnsi="Georgia" w:eastAsia="Georgia"/>
          <w:b w:val="0"/>
          <w:i w:val="0"/>
          <w:sz w:val="22"/>
        </w:rPr>
        <w:t>Strike through a hedge-like token that fails the Working Test. Write the reason code beside it in grey text.</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769"/>
        <w:gridCol w:w="2769"/>
        <w:gridCol w:w="2769"/>
      </w:tblGrid>
      <w:tr>
        <w:trPr>
          <w:cantSplit/>
        </w:trPr>
        <w:tc>
          <w:tcPr>
            <w:tcW w:type="dxa" w:w="2769"/>
            <w:shd w:val="clear" w:color="auto" w:fill="F2F4F6"/>
            <w:tcW w:w="1000" w:type="dxa"/>
          </w:tcPr>
          <w:p>
            <w:pPr>
              <w:spacing w:before="40" w:after="40" w:line="240" w:lineRule="auto"/>
              <w:jc w:val="left"/>
            </w:pPr>
            <w:r>
              <w:rPr>
                <w:rFonts w:ascii="Georgia" w:hAnsi="Georgia" w:eastAsia="Georgia"/>
                <w:b/>
                <w:sz w:val="20"/>
              </w:rPr>
              <w:t>Code</w:t>
            </w:r>
          </w:p>
        </w:tc>
        <w:tc>
          <w:tcPr>
            <w:tcW w:type="dxa" w:w="2769"/>
            <w:shd w:val="clear" w:color="auto" w:fill="F2F4F6"/>
            <w:tcW w:w="3600" w:type="dxa"/>
          </w:tcPr>
          <w:p>
            <w:pPr>
              <w:spacing w:before="40" w:after="40" w:line="240" w:lineRule="auto"/>
              <w:jc w:val="left"/>
            </w:pPr>
            <w:r>
              <w:rPr>
                <w:rFonts w:ascii="Georgia" w:hAnsi="Georgia" w:eastAsia="Georgia"/>
                <w:b/>
                <w:sz w:val="20"/>
              </w:rPr>
              <w:t>Reason</w:t>
            </w:r>
          </w:p>
        </w:tc>
        <w:tc>
          <w:tcPr>
            <w:tcW w:type="dxa" w:w="2769"/>
            <w:shd w:val="clear" w:color="auto" w:fill="F2F4F6"/>
            <w:tcW w:w="2900" w:type="dxa"/>
          </w:tcPr>
          <w:p>
            <w:pPr>
              <w:spacing w:before="40" w:after="40" w:line="240" w:lineRule="auto"/>
              <w:jc w:val="left"/>
            </w:pPr>
            <w:r>
              <w:rPr>
                <w:rFonts w:ascii="Georgia" w:hAnsi="Georgia" w:eastAsia="Georgia"/>
                <w:b/>
                <w:sz w:val="20"/>
              </w:rPr>
              <w:t>Marked Example</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FP-Cap</w:t>
            </w:r>
          </w:p>
        </w:tc>
        <w:tc>
          <w:tcPr>
            <w:tcW w:type="dxa" w:w="2769"/>
            <w:tcW w:w="3600" w:type="dxa"/>
          </w:tcPr>
          <w:p>
            <w:pPr>
              <w:spacing w:before="40" w:after="40" w:line="240" w:lineRule="auto"/>
              <w:jc w:val="left"/>
            </w:pPr>
            <w:r>
              <w:rPr>
                <w:rFonts w:ascii="Georgia" w:hAnsi="Georgia" w:eastAsia="Georgia"/>
                <w:sz w:val="20"/>
              </w:rPr>
              <w:t>Capability: describes what something is able to do, not uncertainty about whether it will happen. Distinct from inferential “can be concluded / derived / stated / attributed to / seen as,” which stays a hedge.</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“PCR </w:t>
            </w:r>
            <w:r>
              <w:rPr>
                <w:rFonts w:ascii="Georgia" w:hAnsi="Georgia" w:eastAsia="Georgia"/>
                <w:b/>
                <w:strike/>
                <w:color w:val="000000"/>
                <w:sz w:val="20"/>
              </w:rPr>
              <w:t>can</w:t>
            </w:r>
            <w:r>
              <w:rPr>
                <w:rFonts w:ascii="Georgia" w:hAnsi="Georgia" w:eastAsia="Georgia"/>
                <w:b w:val="0"/>
                <w:i w:val="0"/>
                <w:color w:val="000000"/>
                <w:sz w:val="20"/>
              </w:rPr>
              <w:t xml:space="preserve"> (FP-Cap) detect low concentrations.”</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FP-Rec</w:t>
            </w:r>
          </w:p>
        </w:tc>
        <w:tc>
          <w:tcPr>
            <w:tcW w:type="dxa" w:w="2769"/>
            <w:tcW w:w="3600" w:type="dxa"/>
          </w:tcPr>
          <w:p>
            <w:pPr>
              <w:spacing w:before="40" w:after="40" w:line="240" w:lineRule="auto"/>
              <w:jc w:val="left"/>
            </w:pPr>
            <w:r>
              <w:rPr>
                <w:rFonts w:ascii="Georgia" w:hAnsi="Georgia" w:eastAsia="Georgia"/>
                <w:sz w:val="20"/>
              </w:rPr>
              <w:t>Recommendation: expresses what should, needs to, or ought to be done, not uncertainty about a claim.</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“We </w:t>
            </w:r>
            <w:r>
              <w:rPr>
                <w:rFonts w:ascii="Georgia" w:hAnsi="Georgia" w:eastAsia="Georgia"/>
                <w:b/>
                <w:strike/>
                <w:color w:val="000000"/>
                <w:sz w:val="20"/>
              </w:rPr>
              <w:t>suggest</w:t>
            </w:r>
            <w:r>
              <w:rPr>
                <w:rFonts w:ascii="Georgia" w:hAnsi="Georgia" w:eastAsia="Georgia"/>
                <w:b w:val="0"/>
                <w:i w:val="0"/>
                <w:color w:val="000000"/>
                <w:sz w:val="20"/>
              </w:rPr>
              <w:t xml:space="preserve"> (FP-Rec) further research.”</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FP-Proc</w:t>
            </w:r>
          </w:p>
        </w:tc>
        <w:tc>
          <w:tcPr>
            <w:tcW w:type="dxa" w:w="2769"/>
            <w:tcW w:w="3600" w:type="dxa"/>
          </w:tcPr>
          <w:p>
            <w:pPr>
              <w:spacing w:before="40" w:after="40" w:line="240" w:lineRule="auto"/>
              <w:jc w:val="left"/>
            </w:pPr>
            <w:r>
              <w:rPr>
                <w:rFonts w:ascii="Georgia" w:hAnsi="Georgia" w:eastAsia="Georgia"/>
                <w:sz w:val="20"/>
              </w:rPr>
              <w:t>Procedural norm: describes a routine, standard, or established procedure rather than uncertainty about a claim.</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“Samples were </w:t>
            </w:r>
            <w:r>
              <w:rPr>
                <w:rFonts w:ascii="Georgia" w:hAnsi="Georgia" w:eastAsia="Georgia"/>
                <w:b/>
                <w:strike/>
                <w:color w:val="000000"/>
                <w:sz w:val="20"/>
              </w:rPr>
              <w:t>generally</w:t>
            </w:r>
            <w:r>
              <w:rPr>
                <w:rFonts w:ascii="Georgia" w:hAnsi="Georgia" w:eastAsia="Georgia"/>
                <w:b w:val="0"/>
                <w:i w:val="0"/>
                <w:color w:val="000000"/>
                <w:sz w:val="20"/>
              </w:rPr>
              <w:t xml:space="preserve"> (FP-Proc) stored at 4°C.”</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FP-Loc</w:t>
            </w:r>
          </w:p>
        </w:tc>
        <w:tc>
          <w:tcPr>
            <w:tcW w:type="dxa" w:w="2769"/>
            <w:tcW w:w="3600" w:type="dxa"/>
          </w:tcPr>
          <w:p>
            <w:pPr>
              <w:spacing w:before="40" w:after="40" w:line="240" w:lineRule="auto"/>
              <w:jc w:val="left"/>
            </w:pPr>
            <w:r>
              <w:rPr>
                <w:rFonts w:ascii="Georgia" w:hAnsi="Georgia" w:eastAsia="Georgia"/>
                <w:sz w:val="20"/>
              </w:rPr>
              <w:t>Location: indicates physical or textual location.</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“The results </w:t>
            </w:r>
            <w:r>
              <w:rPr>
                <w:rFonts w:ascii="Georgia" w:hAnsi="Georgia" w:eastAsia="Georgia"/>
                <w:b/>
                <w:strike/>
                <w:color w:val="000000"/>
                <w:sz w:val="20"/>
              </w:rPr>
              <w:t>appear</w:t>
            </w:r>
            <w:r>
              <w:rPr>
                <w:rFonts w:ascii="Georgia" w:hAnsi="Georgia" w:eastAsia="Georgia"/>
                <w:b w:val="0"/>
                <w:i w:val="0"/>
                <w:color w:val="000000"/>
                <w:sz w:val="20"/>
              </w:rPr>
              <w:t xml:space="preserve"> (FP-Loc) in Table 1.”</w:t>
            </w:r>
          </w:p>
        </w:tc>
      </w:tr>
      <w:tr>
        <w:trPr>
          <w:cantSplit/>
        </w:trPr>
        <w:tc>
          <w:tcPr>
            <w:tcW w:type="dxa" w:w="2769"/>
            <w:tcW w:w="1000" w:type="dxa"/>
          </w:tcPr>
          <w:p>
            <w:pPr>
              <w:spacing w:before="40" w:after="40" w:line="240" w:lineRule="auto"/>
              <w:jc w:val="left"/>
            </w:pPr>
            <w:r>
              <w:rPr>
                <w:rFonts w:ascii="Georgia" w:hAnsi="Georgia" w:eastAsia="Georgia"/>
                <w:b/>
                <w:i w:val="0"/>
                <w:color w:val="808080"/>
                <w:sz w:val="20"/>
              </w:rPr>
              <w:t>FP-Gen</w:t>
            </w:r>
          </w:p>
        </w:tc>
        <w:tc>
          <w:tcPr>
            <w:tcW w:type="dxa" w:w="2769"/>
            <w:tcW w:w="3600" w:type="dxa"/>
          </w:tcPr>
          <w:p>
            <w:pPr>
              <w:spacing w:before="40" w:after="40" w:line="240" w:lineRule="auto"/>
              <w:jc w:val="left"/>
            </w:pPr>
            <w:r>
              <w:rPr>
                <w:rFonts w:ascii="Georgia" w:hAnsi="Georgia" w:eastAsia="Georgia"/>
                <w:sz w:val="20"/>
              </w:rPr>
              <w:t>General exclusion: doesn’t fit the codes above. Use for expressions that look hedge-like but don’t express uncertainty (e.g., naming a research topic, pointing to evidence). Note the specific reason in Coder Notes.</w:t>
            </w:r>
          </w:p>
        </w:tc>
        <w:tc>
          <w:tcPr>
            <w:tcW w:type="dxa" w:w="2769"/>
            <w:tcW w:w="2900" w:type="dxa"/>
          </w:tcPr>
          <w:p>
            <w:pPr>
              <w:spacing w:before="40" w:after="40" w:line="240" w:lineRule="auto"/>
              <w:jc w:val="left"/>
            </w:pPr>
            <w:r>
              <w:rPr>
                <w:rFonts w:ascii="Georgia" w:hAnsi="Georgia" w:eastAsia="Georgia"/>
                <w:b w:val="0"/>
                <w:i w:val="0"/>
                <w:color w:val="000000"/>
                <w:sz w:val="20"/>
              </w:rPr>
              <w:t xml:space="preserve">“...demonstrated notable antioxidant activity, as </w:t>
            </w:r>
            <w:r>
              <w:rPr>
                <w:rFonts w:ascii="Georgia" w:hAnsi="Georgia" w:eastAsia="Georgia"/>
                <w:b/>
                <w:strike/>
                <w:color w:val="000000"/>
                <w:sz w:val="20"/>
              </w:rPr>
              <w:t>indicated</w:t>
            </w:r>
            <w:r>
              <w:rPr>
                <w:rFonts w:ascii="Georgia" w:hAnsi="Georgia" w:eastAsia="Georgia"/>
                <w:b w:val="0"/>
                <w:i w:val="0"/>
                <w:color w:val="000000"/>
                <w:sz w:val="20"/>
              </w:rPr>
              <w:t xml:space="preserve"> (FP-Gen) by the reduction of DPPH radicals.”</w:t>
            </w:r>
          </w:p>
        </w:tc>
      </w:tr>
    </w:tbl>
    <w:p>
      <w:pPr>
        <w:keepNext/>
        <w:keepLines/>
        <w:spacing w:before="240" w:after="240" w:line="480" w:lineRule="auto"/>
        <w:jc w:val="left"/>
      </w:pPr>
      <w:r>
        <w:rPr>
          <w:rFonts w:ascii="Georgia" w:hAnsi="Georgia" w:eastAsia="Georgia"/>
          <w:b/>
          <w:i w:val="0"/>
          <w:sz w:val="24"/>
        </w:rPr>
        <w:t>LAYER 3 (OPTIONAL): UNHEDGED ASSERTION SITES (NEUTRAL GREY)</w:t>
      </w:r>
    </w:p>
    <w:p>
      <w:pPr>
        <w:spacing w:line="480" w:lineRule="auto" w:before="0" w:after="0"/>
        <w:ind w:firstLine="720"/>
        <w:jc w:val="both"/>
      </w:pPr>
      <w:r>
        <w:rPr>
          <w:rFonts w:ascii="Georgia" w:hAnsi="Georgia" w:eastAsia="Georgia"/>
          <w:b w:val="0"/>
          <w:i w:val="0"/>
          <w:color w:val="000000"/>
          <w:sz w:val="22"/>
        </w:rPr>
        <w:t xml:space="preserve">Marks claim-bearing clauses stated directly and confidently without a hedge. Reverse test: if a hedge could be inserted without changing the facts, the clause is markable. Procedural statements are never markable. Example: </w:t>
      </w:r>
      <w:r>
        <w:rPr>
          <w:rFonts w:ascii="Georgia" w:hAnsi="Georgia" w:eastAsia="Georgia"/>
          <w:b w:val="0"/>
          <w:i/>
          <w:color w:val="000000"/>
          <w:sz w:val="22"/>
        </w:rPr>
        <w:t>“Results showed X”</w:t>
      </w:r>
      <w:r>
        <w:rPr>
          <w:rFonts w:ascii="Georgia" w:hAnsi="Georgia" w:eastAsia="Georgia"/>
          <w:b w:val="0"/>
          <w:i w:val="0"/>
          <w:color w:val="000000"/>
          <w:sz w:val="22"/>
        </w:rPr>
        <w:t xml:space="preserve"> could take a hedge (</w:t>
      </w:r>
      <w:r>
        <w:rPr>
          <w:rFonts w:ascii="Georgia" w:hAnsi="Georgia" w:eastAsia="Georgia"/>
          <w:b w:val="0"/>
          <w:i/>
          <w:color w:val="000000"/>
          <w:sz w:val="22"/>
        </w:rPr>
        <w:t>“Results suggested X”</w:t>
      </w:r>
      <w:r>
        <w:rPr>
          <w:rFonts w:ascii="Georgia" w:hAnsi="Georgia" w:eastAsia="Georgia"/>
          <w:b w:val="0"/>
          <w:i w:val="0"/>
          <w:color w:val="000000"/>
          <w:sz w:val="22"/>
        </w:rPr>
        <w:t>) without changing the underlying finding, so it is markable.</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2076"/>
        <w:gridCol w:w="2076"/>
        <w:gridCol w:w="2076"/>
        <w:gridCol w:w="2076"/>
      </w:tblGrid>
      <w:tr>
        <w:trPr>
          <w:cantSplit/>
        </w:trPr>
        <w:tc>
          <w:tcPr>
            <w:tcW w:type="dxa" w:w="2076"/>
            <w:shd w:val="clear" w:color="auto" w:fill="F2F4F6"/>
            <w:tcW w:w="900" w:type="dxa"/>
          </w:tcPr>
          <w:p>
            <w:pPr>
              <w:spacing w:before="40" w:after="40" w:line="240" w:lineRule="auto"/>
              <w:jc w:val="left"/>
            </w:pPr>
            <w:r>
              <w:rPr>
                <w:rFonts w:ascii="Georgia" w:hAnsi="Georgia" w:eastAsia="Georgia"/>
                <w:b/>
                <w:sz w:val="20"/>
              </w:rPr>
              <w:t>Color</w:t>
            </w:r>
          </w:p>
        </w:tc>
        <w:tc>
          <w:tcPr>
            <w:tcW w:type="dxa" w:w="2076"/>
            <w:shd w:val="clear" w:color="auto" w:fill="F2F4F6"/>
            <w:tcW w:w="1600" w:type="dxa"/>
          </w:tcPr>
          <w:p>
            <w:pPr>
              <w:spacing w:before="40" w:after="40" w:line="240" w:lineRule="auto"/>
              <w:jc w:val="left"/>
            </w:pPr>
            <w:r>
              <w:rPr>
                <w:rFonts w:ascii="Georgia" w:hAnsi="Georgia" w:eastAsia="Georgia"/>
                <w:b/>
                <w:sz w:val="20"/>
              </w:rPr>
              <w:t>Subtype</w:t>
            </w:r>
          </w:p>
        </w:tc>
        <w:tc>
          <w:tcPr>
            <w:tcW w:type="dxa" w:w="2076"/>
            <w:shd w:val="clear" w:color="auto" w:fill="F2F4F6"/>
            <w:tcW w:w="2500" w:type="dxa"/>
          </w:tcPr>
          <w:p>
            <w:pPr>
              <w:spacing w:before="40" w:after="40" w:line="240" w:lineRule="auto"/>
              <w:jc w:val="left"/>
            </w:pPr>
            <w:r>
              <w:rPr>
                <w:rFonts w:ascii="Georgia" w:hAnsi="Georgia" w:eastAsia="Georgia"/>
                <w:b/>
                <w:sz w:val="20"/>
              </w:rPr>
              <w:t>Definition</w:t>
            </w:r>
          </w:p>
        </w:tc>
        <w:tc>
          <w:tcPr>
            <w:tcW w:type="dxa" w:w="2076"/>
            <w:shd w:val="clear" w:color="auto" w:fill="F2F4F6"/>
            <w:tcW w:w="2500" w:type="dxa"/>
          </w:tcPr>
          <w:p>
            <w:pPr>
              <w:spacing w:before="40" w:after="40" w:line="240" w:lineRule="auto"/>
              <w:jc w:val="left"/>
            </w:pPr>
            <w:r>
              <w:rPr>
                <w:rFonts w:ascii="Georgia" w:hAnsi="Georgia" w:eastAsia="Georgia"/>
                <w:b/>
                <w:sz w:val="20"/>
              </w:rPr>
              <w:t>Highlighted Example</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Result Claim [R]</w:t>
            </w:r>
          </w:p>
        </w:tc>
        <w:tc>
          <w:tcPr>
            <w:tcW w:type="dxa" w:w="2076"/>
            <w:tcW w:w="2500" w:type="dxa"/>
          </w:tcPr>
          <w:p>
            <w:pPr>
              <w:spacing w:before="40" w:after="40" w:line="240" w:lineRule="auto"/>
              <w:jc w:val="left"/>
            </w:pPr>
            <w:r>
              <w:rPr>
                <w:rFonts w:ascii="Georgia" w:hAnsi="Georgia" w:eastAsia="Georgia"/>
                <w:sz w:val="20"/>
              </w:rPr>
              <w:t>A finding stated as settled fact.</w:t>
            </w:r>
          </w:p>
        </w:tc>
        <w:tc>
          <w:tcPr>
            <w:tcW w:type="dxa" w:w="2076"/>
            <w:tcW w:w="2500" w:type="dxa"/>
          </w:tcPr>
          <w:p>
            <w:pPr>
              <w:spacing w:before="40" w:after="40" w:line="240" w:lineRule="auto"/>
              <w:jc w:val="left"/>
            </w:pPr>
            <w:r>
              <w:rPr>
                <w:rFonts w:ascii="Georgia" w:hAnsi="Georgia" w:eastAsia="Georgia"/>
                <w:b w:val="0"/>
                <w:i w:val="0"/>
                <w:color w:val="000000"/>
                <w:sz w:val="20"/>
              </w:rPr>
              <w:t>“</w:t>
            </w:r>
            <w:r>
              <w:rPr>
                <w:rFonts w:ascii="Georgia" w:hAnsi="Georgia" w:eastAsia="Georgia"/>
                <w:b/>
                <w:strike w:val="0"/>
                <w:color w:val="000000"/>
                <w:sz w:val="20"/>
                <w:shd w:val="clear" w:color="auto" w:fill="BFBFBF"/>
              </w:rPr>
              <w:t>Results showed</w:t>
            </w:r>
            <w:r>
              <w:rPr>
                <w:rFonts w:ascii="Georgia" w:hAnsi="Georgia" w:eastAsia="Georgia"/>
                <w:b w:val="0"/>
                <w:i w:val="0"/>
                <w:color w:val="000000"/>
                <w:sz w:val="20"/>
              </w:rPr>
              <w:t xml:space="preserve"> that all shrimp farms were free of the disease.”</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Generalization [G]</w:t>
            </w:r>
          </w:p>
        </w:tc>
        <w:tc>
          <w:tcPr>
            <w:tcW w:type="dxa" w:w="2076"/>
            <w:tcW w:w="2500" w:type="dxa"/>
          </w:tcPr>
          <w:p>
            <w:pPr>
              <w:spacing w:before="40" w:after="40" w:line="240" w:lineRule="auto"/>
              <w:jc w:val="left"/>
            </w:pPr>
            <w:r>
              <w:rPr>
                <w:rFonts w:ascii="Georgia" w:hAnsi="Georgia" w:eastAsia="Georgia"/>
                <w:sz w:val="20"/>
              </w:rPr>
              <w:t>A broader inference beyond the data.</w:t>
            </w:r>
          </w:p>
        </w:tc>
        <w:tc>
          <w:tcPr>
            <w:tcW w:type="dxa" w:w="2076"/>
            <w:tcW w:w="2500" w:type="dxa"/>
          </w:tcPr>
          <w:p>
            <w:pPr>
              <w:spacing w:before="40" w:after="40" w:line="240" w:lineRule="auto"/>
              <w:jc w:val="left"/>
            </w:pPr>
            <w:r>
              <w:rPr>
                <w:rFonts w:ascii="Georgia" w:hAnsi="Georgia" w:eastAsia="Georgia"/>
                <w:b w:val="0"/>
                <w:i w:val="0"/>
                <w:color w:val="000000"/>
                <w:sz w:val="20"/>
              </w:rPr>
              <w:t xml:space="preserve">“This led to the </w:t>
            </w:r>
            <w:r>
              <w:rPr>
                <w:rFonts w:ascii="Georgia" w:hAnsi="Georgia" w:eastAsia="Georgia"/>
                <w:b/>
                <w:strike w:val="0"/>
                <w:color w:val="000000"/>
                <w:sz w:val="20"/>
                <w:shd w:val="clear" w:color="auto" w:fill="BFBFBF"/>
              </w:rPr>
              <w:t>conclusion that</w:t>
            </w:r>
            <w:r>
              <w:rPr>
                <w:rFonts w:ascii="Georgia" w:hAnsi="Georgia" w:eastAsia="Georgia"/>
                <w:b w:val="0"/>
                <w:i w:val="0"/>
                <w:color w:val="000000"/>
                <w:sz w:val="20"/>
              </w:rPr>
              <w:t xml:space="preserve"> all farms were free of it.”</w:t>
            </w:r>
          </w:p>
        </w:tc>
      </w:tr>
      <w:tr>
        <w:trPr>
          <w:cantSplit/>
        </w:trPr>
        <w:tc>
          <w:tcPr>
            <w:tcW w:type="dxa" w:w="2076"/>
            <w:shd w:val="clear" w:color="auto" w:fill="BFBFBF"/>
            <w:tcW w:w="900" w:type="dxa"/>
          </w:tcPr>
          <w:p>
            <w:pPr>
              <w:spacing w:before="40" w:after="40" w:line="240" w:lineRule="auto"/>
              <w:jc w:val="left"/>
            </w:pPr>
            <w:r>
              <w:rPr>
                <w:rFonts w:ascii="Georgia" w:hAnsi="Georgia" w:eastAsia="Georgia"/>
                <w:sz w:val="22"/>
                <w:shd w:val="clear" w:color="auto" w:fill="BFBFBF"/>
              </w:rPr>
              <w:t xml:space="preserve">      </w:t>
            </w:r>
          </w:p>
        </w:tc>
        <w:tc>
          <w:tcPr>
            <w:tcW w:type="dxa" w:w="2076"/>
            <w:tcW w:w="1600" w:type="dxa"/>
          </w:tcPr>
          <w:p>
            <w:pPr>
              <w:spacing w:before="40" w:after="40" w:line="240" w:lineRule="auto"/>
              <w:jc w:val="left"/>
            </w:pPr>
            <w:r>
              <w:rPr>
                <w:rFonts w:ascii="Georgia" w:hAnsi="Georgia" w:eastAsia="Georgia"/>
                <w:sz w:val="20"/>
              </w:rPr>
              <w:t>Causal Claim [C]</w:t>
            </w:r>
          </w:p>
        </w:tc>
        <w:tc>
          <w:tcPr>
            <w:tcW w:type="dxa" w:w="2076"/>
            <w:tcW w:w="2500" w:type="dxa"/>
          </w:tcPr>
          <w:p>
            <w:pPr>
              <w:spacing w:before="40" w:after="40" w:line="240" w:lineRule="auto"/>
              <w:jc w:val="left"/>
            </w:pPr>
            <w:r>
              <w:rPr>
                <w:rFonts w:ascii="Georgia" w:hAnsi="Georgia" w:eastAsia="Georgia"/>
                <w:sz w:val="20"/>
              </w:rPr>
              <w:t>A cause and effect link stated as established.</w:t>
            </w:r>
          </w:p>
        </w:tc>
        <w:tc>
          <w:tcPr>
            <w:tcW w:type="dxa" w:w="2076"/>
            <w:tcW w:w="2500" w:type="dxa"/>
          </w:tcPr>
          <w:p>
            <w:pPr>
              <w:spacing w:before="40" w:after="40" w:line="240" w:lineRule="auto"/>
              <w:jc w:val="left"/>
            </w:pPr>
            <w:r>
              <w:rPr>
                <w:rFonts w:ascii="Georgia" w:hAnsi="Georgia" w:eastAsia="Georgia"/>
                <w:b w:val="0"/>
                <w:i w:val="0"/>
                <w:color w:val="000000"/>
                <w:sz w:val="20"/>
              </w:rPr>
              <w:t xml:space="preserve">“Extracts </w:t>
            </w:r>
            <w:r>
              <w:rPr>
                <w:rFonts w:ascii="Georgia" w:hAnsi="Georgia" w:eastAsia="Georgia"/>
                <w:b/>
                <w:strike w:val="0"/>
                <w:color w:val="000000"/>
                <w:sz w:val="20"/>
                <w:shd w:val="clear" w:color="auto" w:fill="BFBFBF"/>
              </w:rPr>
              <w:t>produce</w:t>
            </w:r>
            <w:r>
              <w:rPr>
                <w:rFonts w:ascii="Georgia" w:hAnsi="Georgia" w:eastAsia="Georgia"/>
                <w:b w:val="0"/>
                <w:i w:val="0"/>
                <w:color w:val="000000"/>
                <w:sz w:val="20"/>
              </w:rPr>
              <w:t xml:space="preserve"> comparable staining because they contain similar compounds.”</w:t>
            </w:r>
          </w:p>
        </w:tc>
      </w:tr>
    </w:tbl>
    <w:p>
      <w:pPr>
        <w:keepNext/>
        <w:keepLines/>
        <w:spacing w:before="240" w:after="240" w:line="480" w:lineRule="auto"/>
        <w:jc w:val="left"/>
      </w:pPr>
      <w:r>
        <w:rPr>
          <w:rFonts w:ascii="Georgia" w:hAnsi="Georgia" w:eastAsia="Georgia"/>
          <w:b/>
          <w:i w:val="0"/>
          <w:sz w:val="24"/>
        </w:rPr>
        <w:t>QUICK-REFERENCE LEGEND</w:t>
      </w:r>
    </w:p>
    <w:p>
      <w:pPr>
        <w:spacing w:line="480" w:lineRule="auto" w:before="0" w:after="0"/>
        <w:ind w:firstLine="720"/>
        <w:jc w:val="both"/>
      </w:pPr>
      <w:r>
        <w:rPr>
          <w:rFonts w:ascii="Georgia" w:hAnsi="Georgia" w:eastAsia="Georgia"/>
          <w:b w:val="0"/>
          <w:i w:val="0"/>
          <w:sz w:val="22"/>
        </w:rPr>
        <w:t>Colors are backgrounds applied with a highlighter directly on the abstract text, not font colors.</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4153"/>
        <w:gridCol w:w="4153"/>
      </w:tblGrid>
      <w:tr>
        <w:trPr>
          <w:cantSplit/>
        </w:trPr>
        <w:tc>
          <w:tcPr>
            <w:tcW w:type="dxa" w:w="4153"/>
            <w:shd w:val="clear" w:color="auto" w:fill="F2F4F6"/>
            <w:tcW w:w="3750" w:type="dxa"/>
          </w:tcPr>
          <w:p>
            <w:pPr>
              <w:spacing w:before="40" w:after="40" w:line="240" w:lineRule="auto"/>
              <w:jc w:val="left"/>
            </w:pPr>
            <w:r>
              <w:rPr>
                <w:rFonts w:ascii="Georgia" w:hAnsi="Georgia" w:eastAsia="Georgia"/>
                <w:b/>
                <w:sz w:val="20"/>
              </w:rPr>
              <w:t>TYPE (Highlight)</w:t>
            </w:r>
          </w:p>
        </w:tc>
        <w:tc>
          <w:tcPr>
            <w:tcW w:type="dxa" w:w="4153"/>
            <w:shd w:val="clear" w:color="auto" w:fill="F2F4F6"/>
            <w:tcW w:w="3750" w:type="dxa"/>
          </w:tcPr>
          <w:p>
            <w:pPr>
              <w:spacing w:before="40" w:after="40" w:line="240" w:lineRule="auto"/>
              <w:jc w:val="left"/>
            </w:pPr>
            <w:r>
              <w:rPr>
                <w:rFonts w:ascii="Georgia" w:hAnsi="Georgia" w:eastAsia="Georgia"/>
                <w:b/>
                <w:sz w:val="20"/>
              </w:rPr>
              <w:t>FUNCTION (Text)</w:t>
            </w:r>
          </w:p>
        </w:tc>
      </w:tr>
      <w:tr>
        <w:trPr>
          <w:cantSplit/>
        </w:trPr>
        <w:tc>
          <w:tcPr>
            <w:tcW w:type="dxa" w:w="4153"/>
            <w:tcW w:w="3750" w:type="dxa"/>
          </w:tcPr>
          <w:p>
            <w:pPr>
              <w:spacing w:before="40" w:after="40" w:line="240" w:lineRule="auto"/>
              <w:jc w:val="left"/>
            </w:pPr>
            <w:r>
              <w:rPr>
                <w:rFonts w:ascii="Georgia" w:hAnsi="Georgia" w:eastAsia="Georgia"/>
                <w:sz w:val="22"/>
                <w:shd w:val="clear" w:color="auto" w:fill="00B0F0"/>
              </w:rPr>
              <w:t xml:space="preserve">      </w:t>
            </w:r>
            <w:r>
              <w:rPr>
                <w:rFonts w:ascii="Georgia" w:hAnsi="Georgia" w:eastAsia="Georgia"/>
                <w:b w:val="0"/>
                <w:i w:val="0"/>
                <w:color w:val="000000"/>
                <w:sz w:val="20"/>
              </w:rPr>
              <w:t xml:space="preserve">  Modal Verbs</w:t>
            </w:r>
          </w:p>
          <w:p>
            <w:pPr>
              <w:spacing w:before="40" w:after="40" w:line="240" w:lineRule="auto"/>
              <w:jc w:val="left"/>
            </w:pPr>
            <w:r>
              <w:rPr>
                <w:rFonts w:ascii="Georgia" w:hAnsi="Georgia" w:eastAsia="Georgia"/>
                <w:sz w:val="22"/>
                <w:shd w:val="clear" w:color="auto" w:fill="FF0000"/>
              </w:rPr>
              <w:t xml:space="preserve">      </w:t>
            </w:r>
            <w:r>
              <w:rPr>
                <w:rFonts w:ascii="Georgia" w:hAnsi="Georgia" w:eastAsia="Georgia"/>
                <w:b w:val="0"/>
                <w:i w:val="0"/>
                <w:color w:val="000000"/>
                <w:sz w:val="20"/>
              </w:rPr>
              <w:t xml:space="preserve">  Lexical Hedges</w:t>
            </w:r>
          </w:p>
          <w:p>
            <w:pPr>
              <w:spacing w:before="40" w:after="40" w:line="240" w:lineRule="auto"/>
              <w:jc w:val="left"/>
            </w:pPr>
            <w:r>
              <w:rPr>
                <w:rFonts w:ascii="Georgia" w:hAnsi="Georgia" w:eastAsia="Georgia"/>
                <w:sz w:val="22"/>
                <w:shd w:val="clear" w:color="auto" w:fill="FFFF00"/>
              </w:rPr>
              <w:t xml:space="preserve">      </w:t>
            </w:r>
            <w:r>
              <w:rPr>
                <w:rFonts w:ascii="Georgia" w:hAnsi="Georgia" w:eastAsia="Georgia"/>
                <w:b w:val="0"/>
                <w:i w:val="0"/>
                <w:color w:val="000000"/>
                <w:sz w:val="20"/>
              </w:rPr>
              <w:t xml:space="preserve">  Adverbial Hedges</w:t>
            </w:r>
          </w:p>
          <w:p>
            <w:pPr>
              <w:spacing w:before="40" w:after="40" w:line="240" w:lineRule="auto"/>
              <w:jc w:val="left"/>
            </w:pPr>
            <w:r>
              <w:rPr>
                <w:rFonts w:ascii="Georgia" w:hAnsi="Georgia" w:eastAsia="Georgia"/>
                <w:sz w:val="22"/>
                <w:shd w:val="clear" w:color="auto" w:fill="00B050"/>
              </w:rPr>
              <w:t xml:space="preserve">      </w:t>
            </w:r>
            <w:r>
              <w:rPr>
                <w:rFonts w:ascii="Georgia" w:hAnsi="Georgia" w:eastAsia="Georgia"/>
                <w:b w:val="0"/>
                <w:i w:val="0"/>
                <w:color w:val="000000"/>
                <w:sz w:val="20"/>
              </w:rPr>
              <w:t xml:space="preserve">  Clause-Level Hedges</w:t>
            </w:r>
          </w:p>
        </w:tc>
        <w:tc>
          <w:tcPr>
            <w:tcW w:type="dxa" w:w="4153"/>
            <w:tcW w:w="3750" w:type="dxa"/>
          </w:tcPr>
          <w:p>
            <w:pPr>
              <w:spacing w:before="40" w:after="40" w:line="240" w:lineRule="auto"/>
              <w:jc w:val="left"/>
            </w:pPr>
            <w:r>
              <w:rPr>
                <w:rFonts w:ascii="Georgia" w:hAnsi="Georgia" w:eastAsia="Georgia"/>
                <w:b/>
                <w:i w:val="0"/>
                <w:color w:val="ED7D31"/>
                <w:sz w:val="20"/>
              </w:rPr>
              <w:t>EC</w:t>
            </w:r>
            <w:r>
              <w:rPr>
                <w:rFonts w:ascii="Georgia" w:hAnsi="Georgia" w:eastAsia="Georgia"/>
                <w:b w:val="0"/>
                <w:i w:val="0"/>
                <w:color w:val="000000"/>
                <w:sz w:val="20"/>
              </w:rPr>
              <w:t xml:space="preserve">  Epistemic Caution</w:t>
            </w:r>
          </w:p>
          <w:p>
            <w:pPr>
              <w:spacing w:before="40" w:after="40" w:line="240" w:lineRule="auto"/>
              <w:jc w:val="left"/>
            </w:pPr>
            <w:r>
              <w:rPr>
                <w:rFonts w:ascii="Georgia" w:hAnsi="Georgia" w:eastAsia="Georgia"/>
                <w:b/>
                <w:i w:val="0"/>
                <w:color w:val="7030A0"/>
                <w:sz w:val="20"/>
              </w:rPr>
              <w:t>P</w:t>
            </w:r>
            <w:r>
              <w:rPr>
                <w:rFonts w:ascii="Georgia" w:hAnsi="Georgia" w:eastAsia="Georgia"/>
                <w:b w:val="0"/>
                <w:i w:val="0"/>
                <w:color w:val="000000"/>
                <w:sz w:val="20"/>
              </w:rPr>
              <w:t xml:space="preserve">  Politeness / Deference</w:t>
            </w:r>
          </w:p>
          <w:p>
            <w:pPr>
              <w:spacing w:before="40" w:after="40" w:line="240" w:lineRule="auto"/>
              <w:jc w:val="left"/>
            </w:pPr>
            <w:r>
              <w:rPr>
                <w:rFonts w:ascii="Georgia" w:hAnsi="Georgia" w:eastAsia="Georgia"/>
                <w:b/>
                <w:i w:val="0"/>
                <w:color w:val="00B0F0"/>
                <w:sz w:val="20"/>
              </w:rPr>
              <w:t>DO</w:t>
            </w:r>
            <w:r>
              <w:rPr>
                <w:rFonts w:ascii="Georgia" w:hAnsi="Georgia" w:eastAsia="Georgia"/>
                <w:b w:val="0"/>
                <w:i w:val="0"/>
                <w:color w:val="000000"/>
                <w:sz w:val="20"/>
              </w:rPr>
              <w:t xml:space="preserve">  Discourse Organization</w:t>
            </w:r>
          </w:p>
        </w:tc>
      </w:tr>
      <w:tr>
        <w:trPr>
          <w:cantSplit/>
        </w:trPr>
        <w:tc>
          <w:tcPr>
            <w:tcW w:type="dxa" w:w="4153"/>
            <w:tcW w:w="3750" w:type="dxa"/>
          </w:tcPr>
          <w:p>
            <w:pPr>
              <w:spacing w:before="40" w:after="40" w:line="240" w:lineRule="auto"/>
              <w:jc w:val="left"/>
            </w:pPr>
            <w:r>
              <w:rPr>
                <w:rFonts w:ascii="Georgia" w:hAnsi="Georgia" w:eastAsia="Georgia"/>
                <w:b/>
                <w:i w:val="0"/>
                <w:color w:val="000000"/>
                <w:sz w:val="20"/>
              </w:rPr>
              <w:t>UNHEDGED SITES (Grey Highlight, Optional)</w:t>
            </w:r>
          </w:p>
          <w:p>
            <w:pPr>
              <w:spacing w:before="40" w:after="40" w:line="240" w:lineRule="auto"/>
              <w:jc w:val="left"/>
            </w:pPr>
            <w:r>
              <w:rPr>
                <w:rFonts w:ascii="Georgia" w:hAnsi="Georgia" w:eastAsia="Georgia"/>
                <w:sz w:val="22"/>
                <w:shd w:val="clear" w:color="auto" w:fill="BFBFBF"/>
              </w:rPr>
              <w:t xml:space="preserve">      </w:t>
            </w:r>
            <w:r>
              <w:rPr>
                <w:rFonts w:ascii="Georgia" w:hAnsi="Georgia" w:eastAsia="Georgia"/>
                <w:b w:val="0"/>
                <w:i w:val="0"/>
                <w:color w:val="000000"/>
                <w:sz w:val="20"/>
              </w:rPr>
              <w:t xml:space="preserve">  R = Result, G = Generalization, C = Causal. Bracket the subtype beside the mark.</w:t>
            </w:r>
          </w:p>
        </w:tc>
        <w:tc>
          <w:tcPr>
            <w:tcW w:type="dxa" w:w="4153"/>
            <w:tcW w:w="3750" w:type="dxa"/>
          </w:tcPr>
          <w:p>
            <w:pPr>
              <w:spacing w:before="40" w:after="40" w:line="240" w:lineRule="auto"/>
              <w:jc w:val="left"/>
            </w:pPr>
            <w:r>
              <w:rPr>
                <w:rFonts w:ascii="Georgia" w:hAnsi="Georgia" w:eastAsia="Georgia"/>
                <w:b/>
                <w:i w:val="0"/>
                <w:color w:val="000000"/>
                <w:sz w:val="20"/>
              </w:rPr>
              <w:t>FALSE POSITIVE (Strikethrough)</w:t>
            </w:r>
          </w:p>
          <w:p>
            <w:pPr>
              <w:spacing w:before="40" w:after="40" w:line="240" w:lineRule="auto"/>
              <w:jc w:val="left"/>
            </w:pPr>
            <w:r>
              <w:rPr>
                <w:rFonts w:ascii="Georgia" w:hAnsi="Georgia" w:eastAsia="Georgia"/>
                <w:b w:val="0"/>
                <w:i w:val="0"/>
                <w:color w:val="000000"/>
                <w:sz w:val="20"/>
              </w:rPr>
              <w:t>No highlight. Strike through the token and write the reason code in grey text.</w:t>
            </w:r>
          </w:p>
        </w:tc>
      </w:tr>
    </w:tbl>
    <w:p>
      <w:pPr>
        <w:keepNext/>
        <w:keepLines/>
        <w:spacing w:before="240" w:after="240" w:line="480" w:lineRule="auto"/>
        <w:jc w:val="left"/>
      </w:pPr>
      <w:r>
        <w:rPr>
          <w:rFonts w:ascii="Georgia" w:hAnsi="Georgia" w:eastAsia="Georgia"/>
          <w:b/>
          <w:i w:val="0"/>
          <w:sz w:val="24"/>
        </w:rPr>
        <w:t>COMBINED EXAMPLE</w:t>
      </w:r>
    </w:p>
    <w:p>
      <w:pPr>
        <w:spacing w:line="480" w:lineRule="auto" w:before="0" w:after="0"/>
        <w:ind w:firstLine="720"/>
        <w:jc w:val="both"/>
      </w:pPr>
      <w:r>
        <w:rPr>
          <w:rFonts w:ascii="Georgia" w:hAnsi="Georgia" w:eastAsia="Georgia"/>
          <w:b w:val="0"/>
          <w:i/>
          <w:color w:val="000000"/>
          <w:sz w:val="22"/>
        </w:rPr>
        <w:t xml:space="preserve">Combined example, as marked on a hard copy. </w:t>
      </w:r>
      <w:r>
        <w:rPr>
          <w:rFonts w:ascii="Georgia" w:hAnsi="Georgia" w:eastAsia="Georgia"/>
          <w:b w:val="0"/>
          <w:i w:val="0"/>
          <w:color w:val="000000"/>
          <w:sz w:val="22"/>
        </w:rPr>
        <w:t xml:space="preserve">“The results </w:t>
      </w:r>
      <w:r>
        <w:rPr>
          <w:rFonts w:ascii="Georgia" w:hAnsi="Georgia" w:eastAsia="Georgia"/>
          <w:b/>
          <w:strike w:val="0"/>
          <w:color w:val="FFFFFF"/>
          <w:sz w:val="22"/>
          <w:shd w:val="clear" w:color="auto" w:fill="FF0000"/>
        </w:rPr>
        <w:t>suggested</w:t>
      </w:r>
      <w:r>
        <w:rPr>
          <w:rFonts w:ascii="Georgia" w:hAnsi="Georgia" w:eastAsia="Georgia"/>
          <w:b w:val="0"/>
          <w:i w:val="0"/>
          <w:color w:val="000000"/>
          <w:sz w:val="22"/>
        </w:rPr>
        <w:t xml:space="preserve"> </w:t>
      </w:r>
      <w:r>
        <w:rPr>
          <w:rFonts w:ascii="Georgia" w:hAnsi="Georgia" w:eastAsia="Georgia"/>
          <w:b/>
          <w:i w:val="0"/>
          <w:color w:val="ED7D31"/>
          <w:sz w:val="22"/>
        </w:rPr>
        <w:t>(EC)</w:t>
      </w:r>
      <w:r>
        <w:rPr>
          <w:rFonts w:ascii="Georgia" w:hAnsi="Georgia" w:eastAsia="Georgia"/>
          <w:b w:val="0"/>
          <w:i w:val="0"/>
          <w:color w:val="000000"/>
          <w:sz w:val="22"/>
        </w:rPr>
        <w:t xml:space="preserve"> that C. longa extracts are </w:t>
      </w:r>
      <w:r>
        <w:rPr>
          <w:rFonts w:ascii="Georgia" w:hAnsi="Georgia" w:eastAsia="Georgia"/>
          <w:b/>
          <w:strike/>
          <w:color w:val="000000"/>
          <w:sz w:val="22"/>
        </w:rPr>
        <w:t>potential</w:t>
      </w:r>
      <w:r>
        <w:rPr>
          <w:rFonts w:ascii="Georgia" w:hAnsi="Georgia" w:eastAsia="Georgia"/>
          <w:b w:val="0"/>
          <w:i w:val="0"/>
          <w:color w:val="000000"/>
          <w:sz w:val="22"/>
        </w:rPr>
        <w:t xml:space="preserve"> </w:t>
      </w:r>
      <w:r>
        <w:rPr>
          <w:rFonts w:ascii="Georgia" w:hAnsi="Georgia" w:eastAsia="Georgia"/>
          <w:b w:val="0"/>
          <w:i w:val="0"/>
          <w:color w:val="808080"/>
          <w:sz w:val="22"/>
        </w:rPr>
        <w:t>(FP-Gen)</w:t>
      </w:r>
      <w:r>
        <w:rPr>
          <w:rFonts w:ascii="Georgia" w:hAnsi="Georgia" w:eastAsia="Georgia"/>
          <w:b w:val="0"/>
          <w:i w:val="0"/>
          <w:color w:val="000000"/>
          <w:sz w:val="22"/>
        </w:rPr>
        <w:t xml:space="preserve"> alternative stains. PCR </w:t>
      </w:r>
      <w:r>
        <w:rPr>
          <w:rFonts w:ascii="Georgia" w:hAnsi="Georgia" w:eastAsia="Georgia"/>
          <w:b/>
          <w:strike/>
          <w:color w:val="000000"/>
          <w:sz w:val="22"/>
        </w:rPr>
        <w:t>can</w:t>
      </w:r>
      <w:r>
        <w:rPr>
          <w:rFonts w:ascii="Georgia" w:hAnsi="Georgia" w:eastAsia="Georgia"/>
          <w:b w:val="0"/>
          <w:i w:val="0"/>
          <w:color w:val="000000"/>
          <w:sz w:val="22"/>
        </w:rPr>
        <w:t xml:space="preserve"> </w:t>
      </w:r>
      <w:r>
        <w:rPr>
          <w:rFonts w:ascii="Georgia" w:hAnsi="Georgia" w:eastAsia="Georgia"/>
          <w:b w:val="0"/>
          <w:i w:val="0"/>
          <w:color w:val="808080"/>
          <w:sz w:val="22"/>
        </w:rPr>
        <w:t>(FP-Cap)</w:t>
      </w:r>
      <w:r>
        <w:rPr>
          <w:rFonts w:ascii="Georgia" w:hAnsi="Georgia" w:eastAsia="Georgia"/>
          <w:b w:val="0"/>
          <w:i w:val="0"/>
          <w:color w:val="000000"/>
          <w:sz w:val="22"/>
        </w:rPr>
        <w:t xml:space="preserve"> also detect low concentrations, while a prior line stated flatly that </w:t>
      </w:r>
      <w:r>
        <w:rPr>
          <w:rFonts w:ascii="Georgia" w:hAnsi="Georgia" w:eastAsia="Georgia"/>
          <w:b/>
          <w:strike w:val="0"/>
          <w:color w:val="000000"/>
          <w:sz w:val="22"/>
          <w:shd w:val="clear" w:color="auto" w:fill="BFBFBF"/>
        </w:rPr>
        <w:t>Results showed</w:t>
      </w:r>
      <w:r>
        <w:rPr>
          <w:rFonts w:ascii="Georgia" w:hAnsi="Georgia" w:eastAsia="Georgia"/>
          <w:b w:val="0"/>
          <w:i w:val="0"/>
          <w:color w:val="000000"/>
          <w:sz w:val="22"/>
        </w:rPr>
        <w:t xml:space="preserve"> </w:t>
      </w:r>
      <w:r>
        <w:rPr>
          <w:rFonts w:ascii="Georgia" w:hAnsi="Georgia" w:eastAsia="Georgia"/>
          <w:b/>
          <w:i w:val="0"/>
          <w:color w:val="000000"/>
          <w:sz w:val="22"/>
        </w:rPr>
        <w:t>[R]</w:t>
      </w:r>
      <w:r>
        <w:rPr>
          <w:rFonts w:ascii="Georgia" w:hAnsi="Georgia" w:eastAsia="Georgia"/>
          <w:b w:val="0"/>
          <w:i w:val="0"/>
          <w:color w:val="000000"/>
          <w:sz w:val="22"/>
        </w:rPr>
        <w:t xml:space="preserve"> no infection.”</w:t>
      </w:r>
    </w:p>
    <w:p>
      <w:pPr>
        <w:spacing w:line="480" w:lineRule="auto" w:before="0" w:after="0"/>
        <w:ind w:firstLine="720"/>
        <w:jc w:val="both"/>
      </w:pPr>
      <w:r>
        <w:rPr>
          <w:rFonts w:ascii="Georgia" w:hAnsi="Georgia" w:eastAsia="Georgia"/>
          <w:b w:val="0"/>
          <w:i/>
          <w:color w:val="404040"/>
          <w:sz w:val="22"/>
        </w:rPr>
        <w:t>Blue and red highlights mark type. Orange text marks function. The strikethrough marks a rejected candidate. Grey highlight marks an unhedged site. Here, “potential” is struck because it names a research property, not a hedge on the claim.</w:t>
      </w:r>
    </w:p>
    <w:p>
      <w:pPr>
        <w:keepNext/>
        <w:keepLines/>
        <w:spacing w:before="240" w:after="240" w:line="480" w:lineRule="auto"/>
        <w:jc w:val="left"/>
      </w:pPr>
      <w:r>
        <w:rPr>
          <w:rFonts w:ascii="Georgia" w:hAnsi="Georgia" w:eastAsia="Georgia"/>
          <w:b/>
          <w:i w:val="0"/>
          <w:sz w:val="24"/>
        </w:rPr>
        <w:t>CODING SHEET COLUMNS</w:t>
      </w:r>
    </w:p>
    <w:p>
      <w:pPr>
        <w:spacing w:line="480" w:lineRule="auto" w:before="0" w:after="0"/>
        <w:ind w:firstLine="720"/>
        <w:jc w:val="both"/>
      </w:pPr>
      <w:r>
        <w:rPr>
          <w:rFonts w:ascii="Georgia" w:hAnsi="Georgia" w:eastAsia="Georgia"/>
          <w:b w:val="0"/>
          <w:i w:val="0"/>
          <w:sz w:val="22"/>
        </w:rPr>
        <w:t>The original highlighted abstract is the primary, authoritative coding record. This spreadsheet is for tallying, organization, and analysis only, not a substitute record.</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038"/>
        <w:gridCol w:w="1038"/>
        <w:gridCol w:w="1038"/>
        <w:gridCol w:w="1038"/>
        <w:gridCol w:w="1038"/>
        <w:gridCol w:w="1038"/>
        <w:gridCol w:w="1038"/>
        <w:gridCol w:w="1038"/>
      </w:tblGrid>
      <w:tr>
        <w:trPr>
          <w:cantSplit/>
        </w:trPr>
        <w:tc>
          <w:tcPr>
            <w:tcW w:type="dxa" w:w="1038"/>
            <w:shd w:val="clear" w:color="auto" w:fill="F2F4F6"/>
            <w:tcW w:w="1100" w:type="dxa"/>
          </w:tcPr>
          <w:p>
            <w:pPr>
              <w:spacing w:before="40" w:after="40" w:line="240" w:lineRule="auto"/>
              <w:jc w:val="left"/>
            </w:pPr>
            <w:r>
              <w:rPr>
                <w:rFonts w:ascii="Georgia" w:hAnsi="Georgia" w:eastAsia="Georgia"/>
                <w:b/>
                <w:sz w:val="20"/>
              </w:rPr>
              <w:t>Abstract ID</w:t>
            </w:r>
          </w:p>
        </w:tc>
        <w:tc>
          <w:tcPr>
            <w:tcW w:type="dxa" w:w="1038"/>
            <w:shd w:val="clear" w:color="auto" w:fill="F2F4F6"/>
            <w:tcW w:w="800" w:type="dxa"/>
          </w:tcPr>
          <w:p>
            <w:pPr>
              <w:spacing w:before="40" w:after="40" w:line="240" w:lineRule="auto"/>
              <w:jc w:val="left"/>
            </w:pPr>
            <w:r>
              <w:rPr>
                <w:rFonts w:ascii="Georgia" w:hAnsi="Georgia" w:eastAsia="Georgia"/>
                <w:b/>
                <w:sz w:val="20"/>
              </w:rPr>
              <w:t>Sentence #</w:t>
            </w:r>
          </w:p>
        </w:tc>
        <w:tc>
          <w:tcPr>
            <w:tcW w:type="dxa" w:w="1038"/>
            <w:shd w:val="clear" w:color="auto" w:fill="F2F4F6"/>
            <w:tcW w:w="1500" w:type="dxa"/>
          </w:tcPr>
          <w:p>
            <w:pPr>
              <w:spacing w:before="40" w:after="40" w:line="240" w:lineRule="auto"/>
              <w:jc w:val="left"/>
            </w:pPr>
            <w:r>
              <w:rPr>
                <w:rFonts w:ascii="Georgia" w:hAnsi="Georgia" w:eastAsia="Georgia"/>
                <w:b/>
                <w:sz w:val="20"/>
              </w:rPr>
              <w:t>Clause</w:t>
            </w:r>
          </w:p>
        </w:tc>
        <w:tc>
          <w:tcPr>
            <w:tcW w:type="dxa" w:w="1038"/>
            <w:shd w:val="clear" w:color="auto" w:fill="F2F4F6"/>
            <w:tcW w:w="1100" w:type="dxa"/>
          </w:tcPr>
          <w:p>
            <w:pPr>
              <w:spacing w:before="40" w:after="40" w:line="240" w:lineRule="auto"/>
              <w:jc w:val="left"/>
            </w:pPr>
            <w:r>
              <w:rPr>
                <w:rFonts w:ascii="Georgia" w:hAnsi="Georgia" w:eastAsia="Georgia"/>
                <w:b/>
                <w:sz w:val="20"/>
              </w:rPr>
              <w:t>Hedge Token</w:t>
            </w:r>
          </w:p>
        </w:tc>
        <w:tc>
          <w:tcPr>
            <w:tcW w:type="dxa" w:w="1038"/>
            <w:shd w:val="clear" w:color="auto" w:fill="F2F4F6"/>
            <w:tcW w:w="800" w:type="dxa"/>
          </w:tcPr>
          <w:p>
            <w:pPr>
              <w:spacing w:before="40" w:after="40" w:line="240" w:lineRule="auto"/>
              <w:jc w:val="left"/>
            </w:pPr>
            <w:r>
              <w:rPr>
                <w:rFonts w:ascii="Georgia" w:hAnsi="Georgia" w:eastAsia="Georgia"/>
                <w:b/>
                <w:sz w:val="20"/>
              </w:rPr>
              <w:t>Type</w:t>
            </w:r>
          </w:p>
        </w:tc>
        <w:tc>
          <w:tcPr>
            <w:tcW w:type="dxa" w:w="1038"/>
            <w:shd w:val="clear" w:color="auto" w:fill="F2F4F6"/>
            <w:tcW w:w="800" w:type="dxa"/>
          </w:tcPr>
          <w:p>
            <w:pPr>
              <w:spacing w:before="40" w:after="40" w:line="240" w:lineRule="auto"/>
              <w:jc w:val="left"/>
            </w:pPr>
            <w:r>
              <w:rPr>
                <w:rFonts w:ascii="Georgia" w:hAnsi="Georgia" w:eastAsia="Georgia"/>
                <w:b/>
                <w:sz w:val="20"/>
              </w:rPr>
              <w:t>Function</w:t>
            </w:r>
          </w:p>
        </w:tc>
        <w:tc>
          <w:tcPr>
            <w:tcW w:type="dxa" w:w="1038"/>
            <w:shd w:val="clear" w:color="auto" w:fill="F2F4F6"/>
            <w:tcW w:w="700" w:type="dxa"/>
          </w:tcPr>
          <w:p>
            <w:pPr>
              <w:spacing w:before="40" w:after="40" w:line="240" w:lineRule="auto"/>
              <w:jc w:val="left"/>
            </w:pPr>
            <w:r>
              <w:rPr>
                <w:rFonts w:ascii="Georgia" w:hAnsi="Georgia" w:eastAsia="Georgia"/>
                <w:b/>
                <w:sz w:val="20"/>
              </w:rPr>
              <w:t>Word Count</w:t>
            </w:r>
          </w:p>
        </w:tc>
        <w:tc>
          <w:tcPr>
            <w:tcW w:type="dxa" w:w="1038"/>
            <w:shd w:val="clear" w:color="auto" w:fill="F2F4F6"/>
            <w:tcW w:w="700" w:type="dxa"/>
          </w:tcPr>
          <w:p>
            <w:pPr>
              <w:spacing w:before="40" w:after="40" w:line="240" w:lineRule="auto"/>
              <w:jc w:val="left"/>
            </w:pPr>
            <w:r>
              <w:rPr>
                <w:rFonts w:ascii="Georgia" w:hAnsi="Georgia" w:eastAsia="Georgia"/>
                <w:b/>
                <w:sz w:val="20"/>
              </w:rPr>
              <w:t>Coder Notes</w:t>
            </w:r>
          </w:p>
        </w:tc>
      </w:tr>
      <w:tr>
        <w:trPr>
          <w:cantSplit/>
        </w:trPr>
        <w:tc>
          <w:tcPr>
            <w:tcW w:type="dxa" w:w="1038"/>
            <w:tcW w:w="11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1500" w:type="dxa"/>
          </w:tcPr>
          <w:p>
            <w:pPr>
              <w:spacing w:before="40" w:after="40" w:line="240" w:lineRule="auto"/>
              <w:jc w:val="left"/>
            </w:pPr>
            <w:r>
              <w:rPr>
                <w:rFonts w:ascii="Georgia" w:hAnsi="Georgia" w:eastAsia="Georgia"/>
                <w:sz w:val="20"/>
              </w:rPr>
              <w:t xml:space="preserve"> </w:t>
            </w:r>
          </w:p>
        </w:tc>
        <w:tc>
          <w:tcPr>
            <w:tcW w:type="dxa" w:w="1038"/>
            <w:tcW w:w="11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800" w:type="dxa"/>
          </w:tcPr>
          <w:p>
            <w:pPr>
              <w:spacing w:before="40" w:after="40" w:line="240" w:lineRule="auto"/>
              <w:jc w:val="left"/>
            </w:pPr>
            <w:r>
              <w:rPr>
                <w:rFonts w:ascii="Georgia" w:hAnsi="Georgia" w:eastAsia="Georgia"/>
                <w:sz w:val="20"/>
              </w:rPr>
              <w:t xml:space="preserve"> </w:t>
            </w:r>
          </w:p>
        </w:tc>
        <w:tc>
          <w:tcPr>
            <w:tcW w:type="dxa" w:w="1038"/>
            <w:tcW w:w="700" w:type="dxa"/>
          </w:tcPr>
          <w:p>
            <w:pPr>
              <w:spacing w:before="40" w:after="40" w:line="240" w:lineRule="auto"/>
              <w:jc w:val="left"/>
            </w:pPr>
            <w:r>
              <w:rPr>
                <w:rFonts w:ascii="Georgia" w:hAnsi="Georgia" w:eastAsia="Georgia"/>
                <w:sz w:val="20"/>
              </w:rPr>
              <w:t xml:space="preserve"> </w:t>
            </w:r>
          </w:p>
        </w:tc>
        <w:tc>
          <w:tcPr>
            <w:tcW w:type="dxa" w:w="1038"/>
            <w:tcW w:w="700" w:type="dxa"/>
          </w:tcPr>
          <w:p>
            <w:pPr>
              <w:spacing w:before="40" w:after="40" w:line="240" w:lineRule="auto"/>
              <w:jc w:val="left"/>
            </w:pPr>
            <w:r>
              <w:rPr>
                <w:rFonts w:ascii="Georgia" w:hAnsi="Georgia" w:eastAsia="Georgia"/>
                <w:sz w:val="20"/>
              </w:rPr>
              <w:t xml:space="preserve"> </w:t>
            </w:r>
          </w:p>
        </w:tc>
      </w:tr>
    </w:tbl>
    <w:p>
      <w:pPr>
        <w:spacing w:before="0" w:after="0" w:line="240" w:lineRule="auto"/>
      </w:pPr>
      <w:r>
        <w:rPr>
          <w:rFonts w:ascii="Georgia" w:hAnsi="Georgia" w:eastAsia="Georgia"/>
          <w:b w:val="0"/>
          <w:i w:val="0"/>
          <w:sz w:val="22"/>
        </w:rPr>
      </w:r>
    </w:p>
    <w:p>
      <w:pPr>
        <w:spacing w:line="480" w:lineRule="auto"/>
        <w:ind w:firstLine="720"/>
        <w:jc w:val="both"/>
      </w:pPr>
      <w:r>
        <w:rPr>
          <w:rFonts w:ascii="Georgia" w:hAnsi="Georgia" w:eastAsia="Georgia"/>
          <w:b w:val="0"/>
          <w:i/>
          <w:color w:val="000000"/>
          <w:sz w:val="22"/>
        </w:rPr>
        <w:t>Discipline codes: Acs1 to A10 and Aas1 to A10 (Agriculture), VM1 to VM20 (Veterinary Medicine), B1 to B20 (Biology).</w:t>
      </w:r>
    </w:p>
    <w:p>
      <w:pPr>
        <w:spacing w:line="480" w:lineRule="auto"/>
        <w:ind w:firstLine="720"/>
        <w:jc w:val="both"/>
      </w:pPr>
      <w:r>
        <w:rPr>
          <w:rFonts w:ascii="Georgia" w:hAnsi="Georgia" w:eastAsia="Georgia"/>
          <w:b w:val="0"/>
          <w:i/>
          <w:color w:val="000000"/>
          <w:sz w:val="22"/>
        </w:rPr>
        <w:t>Layer 3 data, tracked separately so it never inflates RQ2 counts.</w:t>
      </w:r>
    </w:p>
    <w:p>
      <w:pPr>
        <w:keepNext/>
        <w:keepLines/>
        <w:spacing w:before="240" w:after="240" w:line="480" w:lineRule="auto"/>
        <w:jc w:val="left"/>
      </w:pPr>
      <w:r>
        <w:rPr>
          <w:rFonts w:ascii="Georgia" w:hAnsi="Georgia" w:eastAsia="Georgia"/>
          <w:b w:val="0"/>
          <w:i/>
          <w:sz w:val="24"/>
        </w:rPr>
        <w:t>Optional Tab: Unhedged Assertion Sites</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384"/>
        <w:gridCol w:w="1384"/>
        <w:gridCol w:w="1384"/>
        <w:gridCol w:w="1384"/>
        <w:gridCol w:w="1384"/>
        <w:gridCol w:w="1384"/>
      </w:tblGrid>
      <w:tr>
        <w:trPr>
          <w:cantSplit/>
        </w:trPr>
        <w:tc>
          <w:tcPr>
            <w:tcW w:type="dxa" w:w="1384"/>
            <w:shd w:val="clear" w:color="auto" w:fill="F2F4F6"/>
            <w:tcW w:w="1200" w:type="dxa"/>
          </w:tcPr>
          <w:p>
            <w:pPr>
              <w:spacing w:before="40" w:after="40" w:line="240" w:lineRule="auto"/>
              <w:jc w:val="left"/>
            </w:pPr>
            <w:r>
              <w:rPr>
                <w:rFonts w:ascii="Georgia" w:hAnsi="Georgia" w:eastAsia="Georgia"/>
                <w:b/>
                <w:sz w:val="20"/>
              </w:rPr>
              <w:t>Abstract ID</w:t>
            </w:r>
          </w:p>
        </w:tc>
        <w:tc>
          <w:tcPr>
            <w:tcW w:type="dxa" w:w="1384"/>
            <w:shd w:val="clear" w:color="auto" w:fill="F2F4F6"/>
            <w:tcW w:w="800" w:type="dxa"/>
          </w:tcPr>
          <w:p>
            <w:pPr>
              <w:spacing w:before="40" w:after="40" w:line="240" w:lineRule="auto"/>
              <w:jc w:val="left"/>
            </w:pPr>
            <w:r>
              <w:rPr>
                <w:rFonts w:ascii="Georgia" w:hAnsi="Georgia" w:eastAsia="Georgia"/>
                <w:b/>
                <w:sz w:val="20"/>
              </w:rPr>
              <w:t>Sentence #</w:t>
            </w:r>
          </w:p>
        </w:tc>
        <w:tc>
          <w:tcPr>
            <w:tcW w:type="dxa" w:w="1384"/>
            <w:shd w:val="clear" w:color="auto" w:fill="F2F4F6"/>
            <w:tcW w:w="1800" w:type="dxa"/>
          </w:tcPr>
          <w:p>
            <w:pPr>
              <w:spacing w:before="40" w:after="40" w:line="240" w:lineRule="auto"/>
              <w:jc w:val="left"/>
            </w:pPr>
            <w:r>
              <w:rPr>
                <w:rFonts w:ascii="Georgia" w:hAnsi="Georgia" w:eastAsia="Georgia"/>
                <w:b/>
                <w:sz w:val="20"/>
              </w:rPr>
              <w:t>Clause</w:t>
            </w:r>
          </w:p>
        </w:tc>
        <w:tc>
          <w:tcPr>
            <w:tcW w:type="dxa" w:w="1384"/>
            <w:shd w:val="clear" w:color="auto" w:fill="F2F4F6"/>
            <w:tcW w:w="1200" w:type="dxa"/>
          </w:tcPr>
          <w:p>
            <w:pPr>
              <w:spacing w:before="40" w:after="40" w:line="240" w:lineRule="auto"/>
              <w:jc w:val="left"/>
            </w:pPr>
            <w:r>
              <w:rPr>
                <w:rFonts w:ascii="Georgia" w:hAnsi="Georgia" w:eastAsia="Georgia"/>
                <w:b/>
                <w:sz w:val="20"/>
              </w:rPr>
              <w:t>Subtype</w:t>
            </w:r>
          </w:p>
        </w:tc>
        <w:tc>
          <w:tcPr>
            <w:tcW w:type="dxa" w:w="1384"/>
            <w:shd w:val="clear" w:color="auto" w:fill="F2F4F6"/>
            <w:tcW w:w="1350" w:type="dxa"/>
          </w:tcPr>
          <w:p>
            <w:pPr>
              <w:spacing w:before="40" w:after="40" w:line="240" w:lineRule="auto"/>
              <w:jc w:val="left"/>
            </w:pPr>
            <w:r>
              <w:rPr>
                <w:rFonts w:ascii="Georgia" w:hAnsi="Georgia" w:eastAsia="Georgia"/>
                <w:b/>
                <w:sz w:val="20"/>
              </w:rPr>
              <w:t>Reverse Test (Y/N)</w:t>
            </w:r>
          </w:p>
        </w:tc>
        <w:tc>
          <w:tcPr>
            <w:tcW w:type="dxa" w:w="1384"/>
            <w:shd w:val="clear" w:color="auto" w:fill="F2F4F6"/>
            <w:tcW w:w="1150" w:type="dxa"/>
          </w:tcPr>
          <w:p>
            <w:pPr>
              <w:spacing w:before="40" w:after="40" w:line="240" w:lineRule="auto"/>
              <w:jc w:val="left"/>
            </w:pPr>
            <w:r>
              <w:rPr>
                <w:rFonts w:ascii="Georgia" w:hAnsi="Georgia" w:eastAsia="Georgia"/>
                <w:b/>
                <w:sz w:val="20"/>
              </w:rPr>
              <w:t>Coder Notes</w:t>
            </w:r>
          </w:p>
        </w:tc>
      </w:tr>
      <w:tr>
        <w:trPr>
          <w:cantSplit/>
        </w:trPr>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800" w:type="dxa"/>
          </w:tcPr>
          <w:p>
            <w:pPr>
              <w:spacing w:before="40" w:after="40" w:line="240" w:lineRule="auto"/>
              <w:jc w:val="left"/>
            </w:pPr>
            <w:r>
              <w:rPr>
                <w:rFonts w:ascii="Georgia" w:hAnsi="Georgia" w:eastAsia="Georgia"/>
                <w:sz w:val="20"/>
              </w:rPr>
              <w:t xml:space="preserve"> </w:t>
            </w:r>
          </w:p>
        </w:tc>
        <w:tc>
          <w:tcPr>
            <w:tcW w:type="dxa" w:w="1384"/>
            <w:tcW w:w="1800" w:type="dxa"/>
          </w:tcPr>
          <w:p>
            <w:pPr>
              <w:spacing w:before="40" w:after="40" w:line="240" w:lineRule="auto"/>
              <w:jc w:val="left"/>
            </w:pPr>
            <w:r>
              <w:rPr>
                <w:rFonts w:ascii="Georgia" w:hAnsi="Georgia" w:eastAsia="Georgia"/>
                <w:sz w:val="20"/>
              </w:rPr>
              <w:t xml:space="preserve"> </w:t>
            </w:r>
          </w:p>
        </w:tc>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1350" w:type="dxa"/>
          </w:tcPr>
          <w:p>
            <w:pPr>
              <w:spacing w:before="40" w:after="40" w:line="240" w:lineRule="auto"/>
              <w:jc w:val="left"/>
            </w:pPr>
            <w:r>
              <w:rPr>
                <w:rFonts w:ascii="Georgia" w:hAnsi="Georgia" w:eastAsia="Georgia"/>
                <w:sz w:val="20"/>
              </w:rPr>
              <w:t xml:space="preserve"> </w:t>
            </w:r>
          </w:p>
        </w:tc>
        <w:tc>
          <w:tcPr>
            <w:tcW w:type="dxa" w:w="1384"/>
            <w:tcW w:w="1150" w:type="dxa"/>
          </w:tcPr>
          <w:p>
            <w:pPr>
              <w:spacing w:before="40" w:after="40" w:line="240" w:lineRule="auto"/>
              <w:jc w:val="left"/>
            </w:pPr>
            <w:r>
              <w:rPr>
                <w:rFonts w:ascii="Georgia" w:hAnsi="Georgia" w:eastAsia="Georgia"/>
                <w:sz w:val="20"/>
              </w:rPr>
              <w:t xml:space="preserve"> </w:t>
            </w:r>
          </w:p>
        </w:tc>
      </w:tr>
    </w:tbl>
    <w:p>
      <w:pPr>
        <w:keepNext/>
        <w:keepLines/>
        <w:spacing w:before="240" w:after="240" w:line="480" w:lineRule="auto"/>
        <w:jc w:val="left"/>
      </w:pPr>
      <w:r>
        <w:rPr>
          <w:rFonts w:ascii="Georgia" w:hAnsi="Georgia" w:eastAsia="Georgia"/>
          <w:b w:val="0"/>
          <w:i/>
          <w:sz w:val="24"/>
        </w:rPr>
        <w:t>Optional Tab: Rejected Hedge Candidates</w:t>
      </w:r>
    </w:p>
    <w:p>
      <w:pPr>
        <w:spacing w:line="480" w:lineRule="auto" w:before="0" w:after="0"/>
        <w:ind w:firstLine="720"/>
        <w:jc w:val="both"/>
      </w:pPr>
      <w:r>
        <w:rPr>
          <w:rFonts w:ascii="Georgia" w:hAnsi="Georgia" w:eastAsia="Georgia"/>
          <w:b w:val="0"/>
          <w:i w:val="0"/>
          <w:sz w:val="22"/>
        </w:rPr>
        <w:t>False positives, logged for traceability during the reliability check.</w:t>
      </w:r>
    </w:p>
    <w:tbl>
      <w:tblPr>
        <w:tblStyle w:val="TableGrid"/>
        <w:tblW w:type="auto" w:w="0"/>
        <w:tblLayout w:type="fixed"/>
        <w:tblLook w:firstColumn="1" w:firstRow="1" w:lastColumn="0" w:lastRow="0" w:noHBand="0" w:noVBand="1" w:val="04A0"/>
        <w:tblLayout w:type="fixed"/>
        <w:tblCellMar>
          <w:top w:w="20" w:type="dxa"/>
          <w:left w:w="40" w:type="dxa"/>
          <w:bottom w:w="20" w:type="dxa"/>
          <w:right w:w="40" w:type="dxa"/>
        </w:tblCellMar>
      </w:tblPr>
      <w:tblGrid>
        <w:gridCol w:w="1384"/>
        <w:gridCol w:w="1384"/>
        <w:gridCol w:w="1384"/>
        <w:gridCol w:w="1384"/>
        <w:gridCol w:w="1384"/>
        <w:gridCol w:w="1384"/>
      </w:tblGrid>
      <w:tr>
        <w:trPr>
          <w:cantSplit/>
        </w:trPr>
        <w:tc>
          <w:tcPr>
            <w:tcW w:type="dxa" w:w="1384"/>
            <w:shd w:val="clear" w:color="auto" w:fill="F2F4F6"/>
            <w:tcW w:w="1200" w:type="dxa"/>
          </w:tcPr>
          <w:p>
            <w:pPr>
              <w:spacing w:before="40" w:after="40" w:line="240" w:lineRule="auto"/>
              <w:jc w:val="left"/>
            </w:pPr>
            <w:r>
              <w:rPr>
                <w:rFonts w:ascii="Georgia" w:hAnsi="Georgia" w:eastAsia="Georgia"/>
                <w:b/>
                <w:sz w:val="20"/>
              </w:rPr>
              <w:t>Abstract ID</w:t>
            </w:r>
          </w:p>
        </w:tc>
        <w:tc>
          <w:tcPr>
            <w:tcW w:type="dxa" w:w="1384"/>
            <w:shd w:val="clear" w:color="auto" w:fill="F2F4F6"/>
            <w:tcW w:w="800" w:type="dxa"/>
          </w:tcPr>
          <w:p>
            <w:pPr>
              <w:spacing w:before="40" w:after="40" w:line="240" w:lineRule="auto"/>
              <w:jc w:val="left"/>
            </w:pPr>
            <w:r>
              <w:rPr>
                <w:rFonts w:ascii="Georgia" w:hAnsi="Georgia" w:eastAsia="Georgia"/>
                <w:b/>
                <w:sz w:val="20"/>
              </w:rPr>
              <w:t>Sentence #</w:t>
            </w:r>
          </w:p>
        </w:tc>
        <w:tc>
          <w:tcPr>
            <w:tcW w:type="dxa" w:w="1384"/>
            <w:shd w:val="clear" w:color="auto" w:fill="F2F4F6"/>
            <w:tcW w:w="1800" w:type="dxa"/>
          </w:tcPr>
          <w:p>
            <w:pPr>
              <w:spacing w:before="40" w:after="40" w:line="240" w:lineRule="auto"/>
              <w:jc w:val="left"/>
            </w:pPr>
            <w:r>
              <w:rPr>
                <w:rFonts w:ascii="Georgia" w:hAnsi="Georgia" w:eastAsia="Georgia"/>
                <w:b/>
                <w:sz w:val="20"/>
              </w:rPr>
              <w:t>Clause</w:t>
            </w:r>
          </w:p>
        </w:tc>
        <w:tc>
          <w:tcPr>
            <w:tcW w:type="dxa" w:w="1384"/>
            <w:shd w:val="clear" w:color="auto" w:fill="F2F4F6"/>
            <w:tcW w:w="1350" w:type="dxa"/>
          </w:tcPr>
          <w:p>
            <w:pPr>
              <w:spacing w:before="40" w:after="40" w:line="240" w:lineRule="auto"/>
              <w:jc w:val="left"/>
            </w:pPr>
            <w:r>
              <w:rPr>
                <w:rFonts w:ascii="Georgia" w:hAnsi="Georgia" w:eastAsia="Georgia"/>
                <w:b/>
                <w:sz w:val="20"/>
              </w:rPr>
              <w:t>Token</w:t>
            </w:r>
          </w:p>
        </w:tc>
        <w:tc>
          <w:tcPr>
            <w:tcW w:type="dxa" w:w="1384"/>
            <w:shd w:val="clear" w:color="auto" w:fill="F2F4F6"/>
            <w:tcW w:w="1200" w:type="dxa"/>
          </w:tcPr>
          <w:p>
            <w:pPr>
              <w:spacing w:before="40" w:after="40" w:line="240" w:lineRule="auto"/>
              <w:jc w:val="left"/>
            </w:pPr>
            <w:r>
              <w:rPr>
                <w:rFonts w:ascii="Georgia" w:hAnsi="Georgia" w:eastAsia="Georgia"/>
                <w:b/>
                <w:sz w:val="20"/>
              </w:rPr>
              <w:t>Reason Code</w:t>
            </w:r>
          </w:p>
        </w:tc>
        <w:tc>
          <w:tcPr>
            <w:tcW w:type="dxa" w:w="1384"/>
            <w:shd w:val="clear" w:color="auto" w:fill="F2F4F6"/>
            <w:tcW w:w="1150" w:type="dxa"/>
          </w:tcPr>
          <w:p>
            <w:pPr>
              <w:spacing w:before="40" w:after="40" w:line="240" w:lineRule="auto"/>
              <w:jc w:val="left"/>
            </w:pPr>
            <w:r>
              <w:rPr>
                <w:rFonts w:ascii="Georgia" w:hAnsi="Georgia" w:eastAsia="Georgia"/>
                <w:b/>
                <w:sz w:val="20"/>
              </w:rPr>
              <w:t>Coder Notes</w:t>
            </w:r>
          </w:p>
        </w:tc>
      </w:tr>
      <w:tr>
        <w:trPr>
          <w:cantSplit/>
        </w:trPr>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800" w:type="dxa"/>
          </w:tcPr>
          <w:p>
            <w:pPr>
              <w:spacing w:before="40" w:after="40" w:line="240" w:lineRule="auto"/>
              <w:jc w:val="left"/>
            </w:pPr>
            <w:r>
              <w:rPr>
                <w:rFonts w:ascii="Georgia" w:hAnsi="Georgia" w:eastAsia="Georgia"/>
                <w:sz w:val="20"/>
              </w:rPr>
              <w:t xml:space="preserve"> </w:t>
            </w:r>
          </w:p>
        </w:tc>
        <w:tc>
          <w:tcPr>
            <w:tcW w:type="dxa" w:w="1384"/>
            <w:tcW w:w="1800" w:type="dxa"/>
          </w:tcPr>
          <w:p>
            <w:pPr>
              <w:spacing w:before="40" w:after="40" w:line="240" w:lineRule="auto"/>
              <w:jc w:val="left"/>
            </w:pPr>
            <w:r>
              <w:rPr>
                <w:rFonts w:ascii="Georgia" w:hAnsi="Georgia" w:eastAsia="Georgia"/>
                <w:sz w:val="20"/>
              </w:rPr>
              <w:t xml:space="preserve"> </w:t>
            </w:r>
          </w:p>
        </w:tc>
        <w:tc>
          <w:tcPr>
            <w:tcW w:type="dxa" w:w="1384"/>
            <w:tcW w:w="1350" w:type="dxa"/>
          </w:tcPr>
          <w:p>
            <w:pPr>
              <w:spacing w:before="40" w:after="40" w:line="240" w:lineRule="auto"/>
              <w:jc w:val="left"/>
            </w:pPr>
            <w:r>
              <w:rPr>
                <w:rFonts w:ascii="Georgia" w:hAnsi="Georgia" w:eastAsia="Georgia"/>
                <w:sz w:val="20"/>
              </w:rPr>
              <w:t xml:space="preserve"> </w:t>
            </w:r>
          </w:p>
        </w:tc>
        <w:tc>
          <w:tcPr>
            <w:tcW w:type="dxa" w:w="1384"/>
            <w:tcW w:w="1200" w:type="dxa"/>
          </w:tcPr>
          <w:p>
            <w:pPr>
              <w:spacing w:before="40" w:after="40" w:line="240" w:lineRule="auto"/>
              <w:jc w:val="left"/>
            </w:pPr>
            <w:r>
              <w:rPr>
                <w:rFonts w:ascii="Georgia" w:hAnsi="Georgia" w:eastAsia="Georgia"/>
                <w:sz w:val="20"/>
              </w:rPr>
              <w:t xml:space="preserve"> </w:t>
            </w:r>
          </w:p>
        </w:tc>
        <w:tc>
          <w:tcPr>
            <w:tcW w:type="dxa" w:w="1384"/>
            <w:tcW w:w="1150" w:type="dxa"/>
          </w:tcPr>
          <w:p>
            <w:pPr>
              <w:spacing w:before="40" w:after="40" w:line="240" w:lineRule="auto"/>
              <w:jc w:val="left"/>
            </w:pPr>
            <w:r>
              <w:rPr>
                <w:rFonts w:ascii="Georgia" w:hAnsi="Georgia" w:eastAsia="Georgia"/>
                <w:sz w:val="20"/>
              </w:rPr>
              <w:t xml:space="preserve"> </w:t>
            </w:r>
          </w:p>
        </w:tc>
      </w:tr>
    </w:tbl>
    <w:p>
      <w:pPr>
        <w:sectPr>
          <w:headerReference w:type="default" r:id="rId22"/>
          <w:headerReference w:type="first" r:id="rId23"/>
          <w:pgSz w:w="11906" w:h="16838"/>
          <w:pgMar w:top="1440" w:right="1440" w:bottom="1440" w:left="2160" w:header="720" w:footer="720" w:gutter="0"/>
          <w:cols w:space="720"/>
          <w:titlePg/>
          <w:docGrid w:linePitch="360"/>
        </w:sectPr>
      </w:pP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480" w:lineRule="auto"/>
        <w:jc w:val="center"/>
      </w:pPr>
      <w:r>
        <w:rPr>
          <w:rFonts w:ascii="Georgia" w:hAnsi="Georgia" w:eastAsia="Georgia"/>
          <w:b/>
          <w:i w:val="0"/>
          <w:sz w:val="28"/>
        </w:rPr>
        <w:t>APPENDIX D: CODED CORPUS WITH HIGHLIGHTS</w:t>
      </w:r>
    </w:p>
    <w:p>
      <w:pPr>
        <w:spacing w:before="0" w:after="0" w:line="240" w:lineRule="auto"/>
      </w:pPr>
      <w:r>
        <w:rPr>
          <w:rFonts w:ascii="Georgia" w:hAnsi="Georgia" w:eastAsia="Georgia"/>
          <w:b w:val="0"/>
          <w:i w:val="0"/>
          <w:sz w:val="22"/>
        </w:rPr>
      </w:r>
    </w:p>
    <w:p>
      <w:pPr>
        <w:spacing w:line="480" w:lineRule="auto" w:before="0" w:after="0"/>
        <w:ind w:firstLine="720"/>
        <w:jc w:val="both"/>
      </w:pPr>
      <w:r>
        <w:rPr>
          <w:rFonts w:ascii="Georgia" w:hAnsi="Georgia" w:eastAsia="Georgia"/>
          <w:b w:val="0"/>
          <w:i w:val="0"/>
          <w:sz w:val="22"/>
        </w:rPr>
        <w:t>This appendix presents the 60 abstracts with all coding marks applied. Layer 1 = color highlight on hedge tokens (blue = Modal Verbs, red = Lexical Hedges, yellow = Adverbial Hedges, green = Clause-Level Hedges). Layer 2 = function label in colored text (EC = orange, P = purple, DO = teal). False positives = strikethrough + reason code in grey. Layer 3 (unhedged sites) = grey highlight + [R]/[G]/[C] bracket.</w:t>
      </w:r>
    </w:p>
    <w:p>
      <w:pPr>
        <w:spacing w:before="480" w:after="240" w:line="480" w:lineRule="auto"/>
        <w:jc w:val="center"/>
      </w:pPr>
      <w:r>
        <w:rPr>
          <w:rFonts w:ascii="Georgia" w:hAnsi="Georgia" w:eastAsia="Georgia"/>
          <w:b/>
          <w:i w:val="0"/>
          <w:sz w:val="24"/>
        </w:rPr>
        <w:t>Biology (B1–B20)</w:t>
      </w:r>
    </w:p>
    <w:p>
      <w:pPr>
        <w:spacing w:before="360" w:after="120" w:line="480" w:lineRule="auto"/>
        <w:jc w:val="left"/>
      </w:pPr>
      <w:r>
        <w:rPr>
          <w:rFonts w:ascii="Georgia" w:hAnsi="Georgia" w:eastAsia="Georgia"/>
          <w:b/>
          <w:i w:val="0"/>
          <w:sz w:val="24"/>
        </w:rPr>
        <w:t>B1  ·  258 words  ·  2 hedges  ·  0.78 per 100 words</w:t>
      </w:r>
    </w:p>
    <w:p>
      <w:pPr>
        <w:spacing w:line="480" w:lineRule="auto" w:before="0" w:after="240"/>
        <w:jc w:val="both"/>
      </w:pPr>
      <w:r>
        <w:rPr>
          <w:rFonts w:ascii="Georgia" w:hAnsi="Georgia" w:eastAsia="Georgia"/>
          <w:b w:val="0"/>
          <w:i w:val="0"/>
          <w:color w:val="000000"/>
          <w:sz w:val="22"/>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Bacillus subtilis BIOTECH 1679 was assessed under greenhouse conditions. Results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eastAsia="Georgia"/>
          <w:b/>
          <w:strike w:val="0"/>
          <w:color w:val="FFFFFF"/>
          <w:sz w:val="22"/>
          <w:shd w:val="clear" w:color="auto" w:fill="FF0000"/>
        </w:rPr>
        <w:t>implies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 subtilis as a sustainable solution for managing onion supply demands, contributing to eco-friendly and alternative strategies in agriculture from local to global use.</w:t>
      </w:r>
    </w:p>
    <w:p>
      <w:pPr>
        <w:spacing w:before="360" w:after="120" w:line="480" w:lineRule="auto"/>
        <w:jc w:val="left"/>
      </w:pPr>
      <w:r>
        <w:rPr>
          <w:rFonts w:ascii="Georgia" w:hAnsi="Georgia" w:eastAsia="Georgia"/>
          <w:b/>
          <w:i w:val="0"/>
          <w:sz w:val="24"/>
        </w:rPr>
        <w:t>B2  ·  189 words  ·  0 hedges  ·  0.0 per 100 words</w:t>
      </w:r>
    </w:p>
    <w:p>
      <w:pPr>
        <w:spacing w:line="480" w:lineRule="auto" w:before="0" w:after="240"/>
        <w:jc w:val="both"/>
      </w:pPr>
      <w:r>
        <w:rPr>
          <w:rFonts w:ascii="Georgia" w:hAnsi="Georgia" w:eastAsia="Georgia"/>
          <w:b w:val="0"/>
          <w:i w:val="0"/>
          <w:color w:val="000000"/>
          <w:sz w:val="22"/>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b/>
          <w:strike/>
          <w:color w:val="000000"/>
          <w:sz w:val="22"/>
        </w:rPr>
        <w:t>indicate</w:t>
      </w:r>
      <w:r>
        <w:rPr>
          <w:rFonts w:ascii="Georgia" w:hAnsi="Georgia" w:eastAsia="Georgia"/>
          <w:b w:val="0"/>
          <w:i w:val="0"/>
          <w:color w:val="808080"/>
          <w:sz w:val="20"/>
        </w:rPr>
        <w:t xml:space="preserve"> (FP-Proc)</w:t>
      </w:r>
      <w:r>
        <w:rPr>
          <w:rFonts w:ascii="Georgia" w:hAnsi="Georgia" w:eastAsia="Georgia"/>
          <w:b w:val="0"/>
          <w:i w:val="0"/>
          <w:color w:val="000000"/>
          <w:sz w:val="22"/>
        </w:rPr>
        <w:t xml:space="preserve"> the zone of inhibition in the evaluation of Antibacterial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Balitbitan on Mueller Hinton Agar. The treatment evaluated as follows: T1 (Balitbitan extract in Methanol), T2 (Balitbitan extract in Hexane) and T3 (Balitbitan extract in DCM). The result of antibacterial testing </w:t>
      </w:r>
      <w:r>
        <w:rPr>
          <w:rFonts w:ascii="Georgia" w:hAnsi="Georgia" w:eastAsia="Georgia"/>
          <w:b/>
          <w:strike w:val="0"/>
          <w:color w:val="000000"/>
          <w:sz w:val="22"/>
          <w:shd w:val="clear" w:color="auto" w:fill="BFBFBF"/>
        </w:rPr>
        <w:t>revealed that the Partial Fraction of Balitbitan (Cynometra ramiflora) did not possess the property to inhibit the growth of Staphylococcus aureus and Escherichia coli</w:t>
      </w:r>
      <w:r>
        <w:rPr>
          <w:rFonts w:ascii="Georgia" w:hAnsi="Georgia" w:eastAsia="Georgia"/>
          <w:b/>
          <w:i w:val="0"/>
          <w:color w:val="000000"/>
          <w:sz w:val="20"/>
        </w:rPr>
        <w:t xml:space="preserve"> [R]</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BFBFBF"/>
        </w:rPr>
        <w:t>There was no zone of inhibition when treated with the partial fraction of Balitbitan</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B3  ·  142 words  ·  1 hedges  ·  0.7 per 100 words</w:t>
      </w:r>
    </w:p>
    <w:p>
      <w:pPr>
        <w:spacing w:line="480" w:lineRule="auto" w:before="0" w:after="240"/>
        <w:jc w:val="both"/>
      </w:pPr>
      <w:r>
        <w:rPr>
          <w:rFonts w:ascii="Georgia" w:hAnsi="Georgia" w:eastAsia="Georgia"/>
          <w:b w:val="0"/>
          <w:i w:val="0"/>
          <w:color w:val="000000"/>
          <w:sz w:val="22"/>
        </w:rPr>
        <w:t xml:space="preserve">Clean water resources are essential for sustaining life, yet their scarcity and contamination pose significant global challenges, particularly in remote communities. This study addresses the pressing issue of water potability in Sitio Cananaoan,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eastAsia="Georgia"/>
          <w:b/>
          <w:strike w:val="0"/>
          <w:color w:val="FFFFFF"/>
          <w:sz w:val="22"/>
          <w:shd w:val="clear" w:color="auto" w:fill="FF0000"/>
        </w:rPr>
        <w:t>indicating</w:t>
      </w:r>
      <w:r>
        <w:rPr>
          <w:rFonts w:ascii="Georgia" w:hAnsi="Georgia" w:eastAsia="Georgia"/>
          <w:b/>
          <w:i w:val="0"/>
          <w:color w:val="ED7D31"/>
          <w:sz w:val="20"/>
        </w:rPr>
        <w:t xml:space="preserve"> (EC)</w:t>
      </w:r>
      <w:r>
        <w:rPr>
          <w:rFonts w:ascii="Georgia" w:hAnsi="Georgia" w:eastAsia="Georgia"/>
          <w:b w:val="0"/>
          <w:i w:val="0"/>
          <w:color w:val="000000"/>
          <w:sz w:val="22"/>
        </w:rPr>
        <w:t xml:space="preserve"> unsafe conditions for water consumption for November and December. In addition, lead levels were within safe limits, while mercury levels in soil exceeded recommended guidelines, raising further concerns about environmental health.</w:t>
      </w:r>
    </w:p>
    <w:p>
      <w:pPr>
        <w:spacing w:before="360" w:after="120" w:line="480" w:lineRule="auto"/>
        <w:jc w:val="left"/>
      </w:pPr>
      <w:r>
        <w:rPr>
          <w:rFonts w:ascii="Georgia" w:hAnsi="Georgia" w:eastAsia="Georgia"/>
          <w:b/>
          <w:i w:val="0"/>
          <w:sz w:val="24"/>
        </w:rPr>
        <w:t>B4  ·  231 words  ·  3 hedges  ·  1.3 per 100 words</w:t>
      </w:r>
    </w:p>
    <w:p>
      <w:pPr>
        <w:spacing w:line="480" w:lineRule="auto" w:before="0" w:after="240"/>
        <w:jc w:val="both"/>
      </w:pPr>
      <w:r>
        <w:rPr>
          <w:rFonts w:ascii="Georgia" w:hAnsi="Georgia" w:eastAsia="Georgia"/>
          <w:b w:val="0"/>
          <w:i w:val="0"/>
          <w:color w:val="000000"/>
          <w:sz w:val="22"/>
        </w:rPr>
        <w:t xml:space="preserve">This study evaluated the acute toxicity and antitussive activity of Mimosa pudica (Makahiya) ethanolic extract in ICR mice to assess its safety and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Mimosa pudica has promising antitussive properties and a wide safety margin, supporting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an accessible herbal alternative for managing cough. The presence of bioactive compounds such as flavonoids and saponins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contribute to its therapeutic effects. Further studies are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confirm its long-term safety, refine dosing, and better understand its mechanisms of action.</w:t>
      </w:r>
    </w:p>
    <w:p>
      <w:pPr>
        <w:spacing w:before="360" w:after="120" w:line="480" w:lineRule="auto"/>
        <w:jc w:val="left"/>
      </w:pPr>
      <w:r>
        <w:rPr>
          <w:rFonts w:ascii="Georgia" w:hAnsi="Georgia" w:eastAsia="Georgia"/>
          <w:b/>
          <w:i w:val="0"/>
          <w:sz w:val="24"/>
        </w:rPr>
        <w:t>B5  ·  245 words  ·  1 hedges  ·  0.41 per 100 words</w:t>
      </w:r>
    </w:p>
    <w:p>
      <w:pPr>
        <w:spacing w:line="480" w:lineRule="auto" w:before="0" w:after="240"/>
        <w:jc w:val="both"/>
      </w:pPr>
      <w:r>
        <w:rPr>
          <w:rFonts w:ascii="Georgia" w:hAnsi="Georgia" w:eastAsia="Georgia"/>
          <w:b w:val="0"/>
          <w:i w:val="0"/>
          <w:color w:val="000000"/>
          <w:sz w:val="22"/>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antioxidant and antibacterial sources.</w:t>
      </w:r>
    </w:p>
    <w:p>
      <w:pPr>
        <w:spacing w:before="360" w:after="120" w:line="480" w:lineRule="auto"/>
        <w:jc w:val="left"/>
      </w:pPr>
      <w:r>
        <w:rPr>
          <w:rFonts w:ascii="Georgia" w:hAnsi="Georgia" w:eastAsia="Georgia"/>
          <w:b/>
          <w:i w:val="0"/>
          <w:sz w:val="24"/>
        </w:rPr>
        <w:t>B6  ·  232 words  ·  0 hedges  ·  0.0 per 100 words</w:t>
      </w:r>
    </w:p>
    <w:p>
      <w:pPr>
        <w:spacing w:line="480" w:lineRule="auto" w:before="0" w:after="240"/>
        <w:jc w:val="both"/>
      </w:pPr>
      <w:r>
        <w:rPr>
          <w:rFonts w:ascii="Georgia" w:hAnsi="Georgia" w:eastAsia="Georgia"/>
          <w:b w:val="0"/>
          <w:i w:val="0"/>
          <w:color w:val="000000"/>
          <w:sz w:val="22"/>
        </w:rPr>
        <w:t xml:space="preserve">The study </w:t>
      </w:r>
      <w:r>
        <w:rPr>
          <w:rFonts w:ascii="Georgia" w:hAnsi="Georgia"/>
          <w:b/>
          <w:strike/>
          <w:color w:val="000000"/>
          <w:sz w:val="22"/>
        </w:rPr>
        <w:t>would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be on developing and optimizing eco-bricks using a mixture of SUPs and UCO developed through trial and error. SUPs recovered from various donors from the Magalang Public Market, Pampanga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hAnsi="Georgia" w:eastAsia="Georgia"/>
          <w:b/>
          <w:strike w:val="0"/>
          <w:color w:val="000000"/>
          <w:sz w:val="22"/>
          <w:shd w:val="clear" w:color="auto" w:fill="BFBFBF"/>
        </w:rPr>
        <w:t>revealed that the eco-bricks from all treatments were significantly damaged at the height of one meter, making them a weak, unsuitable material to use in building walkways</w:t>
      </w:r>
      <w:r>
        <w:rPr>
          <w:rFonts w:ascii="Georgia" w:hAnsi="Georgia" w:eastAsia="Georgia"/>
          <w:b/>
          <w:i w:val="0"/>
          <w:color w:val="000000"/>
          <w:sz w:val="20"/>
        </w:rPr>
        <w:t xml:space="preserve"> [R]</w:t>
      </w:r>
      <w:r>
        <w:rPr>
          <w:rFonts w:ascii="Georgia" w:hAnsi="Georgia" w:eastAsia="Georgia"/>
          <w:b w:val="0"/>
          <w:i w:val="0"/>
          <w:color w:val="000000"/>
          <w:sz w:val="22"/>
        </w:rPr>
        <w:t xml:space="preserve">. This study is essential for getting insights into eco-brick manufacture because the workability of SUPs and UCOs as raw materials is proven. </w:t>
      </w:r>
      <w:r>
        <w:rPr>
          <w:rFonts w:ascii="Georgia" w:hAnsi="Georgia" w:eastAsia="Georgia"/>
          <w:b/>
          <w:strike w:val="0"/>
          <w:color w:val="000000"/>
          <w:sz w:val="22"/>
          <w:shd w:val="clear" w:color="auto" w:fill="BFBFBF"/>
        </w:rPr>
        <w:t>The research findings do not apply to buildings</w:t>
      </w:r>
      <w:r>
        <w:rPr>
          <w:rFonts w:ascii="Georgia" w:hAnsi="Georgia" w:eastAsia="Georgia"/>
          <w:b/>
          <w:i w:val="0"/>
          <w:color w:val="000000"/>
          <w:sz w:val="20"/>
        </w:rPr>
        <w:t xml:space="preserve"> [G]</w:t>
      </w:r>
      <w:r>
        <w:rPr>
          <w:rFonts w:ascii="Georgia" w:hAnsi="Georgia" w:eastAsia="Georgia"/>
          <w:b w:val="0"/>
          <w:i w:val="0"/>
          <w:color w:val="000000"/>
          <w:sz w:val="22"/>
        </w:rPr>
        <w:t xml:space="preserve">. Therefore, further research </w:t>
      </w:r>
      <w:r>
        <w:rPr>
          <w:rFonts w:ascii="Georgia" w:hAnsi="Georgia"/>
          <w:b/>
          <w:strike/>
          <w:color w:val="000000"/>
          <w:sz w:val="22"/>
        </w:rPr>
        <w:t>will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aid in underlining the importance of optimizing the ingredient ratios to acquire desirable quality eco-bricks for sustainable construction applications.</w:t>
      </w:r>
    </w:p>
    <w:p>
      <w:pPr>
        <w:spacing w:before="360" w:after="120" w:line="480" w:lineRule="auto"/>
        <w:jc w:val="left"/>
      </w:pPr>
      <w:r>
        <w:rPr>
          <w:rFonts w:ascii="Georgia" w:hAnsi="Georgia" w:eastAsia="Georgia"/>
          <w:b/>
          <w:i w:val="0"/>
          <w:sz w:val="24"/>
        </w:rPr>
        <w:t>B7  ·  266 words  ·  3 hedges  ·  1.13 per 100 words</w:t>
      </w:r>
    </w:p>
    <w:p>
      <w:pPr>
        <w:spacing w:line="480" w:lineRule="auto" w:before="0" w:after="240"/>
        <w:jc w:val="both"/>
      </w:pPr>
      <w:r>
        <w:rPr>
          <w:rFonts w:ascii="Georgia" w:hAnsi="Georgia" w:eastAsia="Georgia"/>
          <w:b w:val="0"/>
          <w:i w:val="0"/>
          <w:color w:val="000000"/>
          <w:sz w:val="22"/>
        </w:rPr>
        <w:t xml:space="preserve">The study </w:t>
      </w:r>
      <w:r>
        <w:rPr>
          <w:rFonts w:ascii="Georgia" w:hAnsi="Georgia"/>
          <w:b/>
          <w:strike/>
          <w:color w:val="000000"/>
          <w:sz w:val="22"/>
        </w:rPr>
        <w:t>generally</w:t>
      </w:r>
      <w:r>
        <w:rPr>
          <w:rFonts w:ascii="Georgia" w:hAnsi="Georgia" w:eastAsia="Georgia"/>
          <w:b w:val="0"/>
          <w:i w:val="0"/>
          <w:color w:val="808080"/>
          <w:sz w:val="20"/>
        </w:rPr>
        <w:t xml:space="preserve"> (FP-Proc)</w:t>
      </w:r>
      <w:r>
        <w:rPr>
          <w:rFonts w:ascii="Georgia" w:hAnsi="Georgia" w:eastAsia="Georgia"/>
          <w:b w:val="0"/>
          <w:i w:val="0"/>
          <w:color w:val="000000"/>
          <w:sz w:val="22"/>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eastAsia="Georgia"/>
          <w:b/>
          <w:strike w:val="0"/>
          <w:color w:val="FFFFFF"/>
          <w:sz w:val="22"/>
          <w:shd w:val="clear" w:color="auto" w:fill="FF0000"/>
        </w:rPr>
        <w:t>inferring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such observation was induced by the Z. talanai-infused nanozeolite pellet suspension. Hence, the biosynthesis of Z. talanai-infused nanozeolite pellets is feasible and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affect the overall development of D. rerio embryos.</w:t>
      </w:r>
    </w:p>
    <w:p>
      <w:pPr>
        <w:spacing w:before="360" w:after="120" w:line="480" w:lineRule="auto"/>
        <w:jc w:val="left"/>
      </w:pPr>
      <w:r>
        <w:rPr>
          <w:rFonts w:ascii="Georgia" w:hAnsi="Georgia" w:eastAsia="Georgia"/>
          <w:b/>
          <w:i w:val="0"/>
          <w:sz w:val="24"/>
        </w:rPr>
        <w:t>B8  ·  241 words  ·  2 hedges  ·  0.83 per 100 words</w:t>
      </w:r>
    </w:p>
    <w:p>
      <w:pPr>
        <w:spacing w:line="480" w:lineRule="auto" w:before="0" w:after="240"/>
        <w:jc w:val="both"/>
      </w:pPr>
      <w:r>
        <w:rPr>
          <w:rFonts w:ascii="Georgia" w:hAnsi="Georgia" w:eastAsia="Georgia"/>
          <w:b w:val="0"/>
          <w:i w:val="0"/>
          <w:color w:val="000000"/>
          <w:sz w:val="22"/>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to control bacterial infections caused by multi-drug resistant pathogens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also be considered.</w:t>
      </w:r>
    </w:p>
    <w:p>
      <w:pPr>
        <w:spacing w:before="360" w:after="120" w:line="480" w:lineRule="auto"/>
        <w:jc w:val="left"/>
      </w:pPr>
      <w:r>
        <w:rPr>
          <w:rFonts w:ascii="Georgia" w:hAnsi="Georgia" w:eastAsia="Georgia"/>
          <w:b/>
          <w:i w:val="0"/>
          <w:sz w:val="24"/>
        </w:rPr>
        <w:t>B9  ·  212 words  ·  0 hedges  ·  0.0 per 100 words</w:t>
      </w:r>
    </w:p>
    <w:p>
      <w:pPr>
        <w:spacing w:line="480" w:lineRule="auto" w:before="0" w:after="240"/>
        <w:jc w:val="both"/>
      </w:pPr>
      <w:r>
        <w:rPr>
          <w:rFonts w:ascii="Georgia" w:hAnsi="Georgia" w:eastAsia="Georgia"/>
          <w:b w:val="0"/>
          <w:i w:val="0"/>
          <w:color w:val="000000"/>
          <w:sz w:val="22"/>
        </w:rPr>
        <w:t xml:space="preserve">This study aimed to identify the histoprotective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hAnsi="Georgia" w:eastAsia="Georgia"/>
          <w:b/>
          <w:strike w:val="0"/>
          <w:color w:val="000000"/>
          <w:sz w:val="22"/>
          <w:shd w:val="clear" w:color="auto" w:fill="BFBFBF"/>
        </w:rPr>
        <w:t>All mice treated with pure leaf extract of Z. talanai, monosodium glutamate, distilled water and L-Taurine showed a significant effect (lesions / aberrations) to the cytoarchitecture of liver and kidney</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hAnsi="Georgia" w:eastAsia="Georgia"/>
          <w:b/>
          <w:strike w:val="0"/>
          <w:color w:val="000000"/>
          <w:sz w:val="22"/>
          <w:shd w:val="clear" w:color="auto" w:fill="BFBFBF"/>
        </w:rPr>
        <w:t>pure MSG and pure ethanolic leaf extract of Z. talanai caused the lesions / aberrations to the liver and kidney</w:t>
      </w:r>
      <w:r>
        <w:rPr>
          <w:rFonts w:ascii="Georgia" w:hAnsi="Georgia" w:eastAsia="Georgia"/>
          <w:b/>
          <w:i w:val="0"/>
          <w:color w:val="000000"/>
          <w:sz w:val="20"/>
        </w:rPr>
        <w:t xml:space="preserve"> [C]</w:t>
      </w:r>
      <w:r>
        <w:rPr>
          <w:rFonts w:ascii="Georgia" w:hAnsi="Georgia" w:eastAsia="Georgia"/>
          <w:b w:val="0"/>
          <w:i w:val="0"/>
          <w:color w:val="000000"/>
          <w:sz w:val="22"/>
        </w:rPr>
        <w:t>.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pPr>
        <w:spacing w:before="360" w:after="120" w:line="480" w:lineRule="auto"/>
        <w:jc w:val="left"/>
      </w:pPr>
      <w:r>
        <w:rPr>
          <w:rFonts w:ascii="Georgia" w:hAnsi="Georgia" w:eastAsia="Georgia"/>
          <w:b/>
          <w:i w:val="0"/>
          <w:sz w:val="24"/>
        </w:rPr>
        <w:t>B10  ·  302 words  ·  1 hedges  ·  0.33 per 100 words</w:t>
      </w:r>
    </w:p>
    <w:p>
      <w:pPr>
        <w:spacing w:line="480" w:lineRule="auto" w:before="0" w:after="240"/>
        <w:jc w:val="both"/>
      </w:pPr>
      <w:r>
        <w:rPr>
          <w:rFonts w:ascii="Georgia" w:hAnsi="Georgia" w:eastAsia="Georgia"/>
          <w:b w:val="0"/>
          <w:i w:val="0"/>
          <w:color w:val="000000"/>
          <w:sz w:val="22"/>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be established to avoid the high danger of heavy metal contamination. Certain local habits, such as waste dumping and other communal activities,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contribute to the spread of heavy metals. As a result, some community or local government-adopted measures are </w:t>
      </w:r>
      <w:r>
        <w:rPr>
          <w:rFonts w:ascii="Georgia" w:hAnsi="Georgia"/>
          <w:b/>
          <w:strike/>
          <w:color w:val="000000"/>
          <w:sz w:val="22"/>
        </w:rPr>
        <w:t>proposed</w:t>
      </w:r>
      <w:r>
        <w:rPr>
          <w:rFonts w:ascii="Georgia" w:hAnsi="Georgia" w:eastAsia="Georgia"/>
          <w:b w:val="0"/>
          <w:i w:val="0"/>
          <w:color w:val="808080"/>
          <w:sz w:val="20"/>
        </w:rPr>
        <w:t xml:space="preserve"> (FP-Gen)</w:t>
      </w:r>
      <w:r>
        <w:rPr>
          <w:rFonts w:ascii="Georgia" w:hAnsi="Georgia" w:eastAsia="Georgia"/>
          <w:b w:val="0"/>
          <w:i w:val="0"/>
          <w:color w:val="000000"/>
          <w:sz w:val="22"/>
        </w:rPr>
        <w:t>. These precautions are intended to prevent heavy metal contamination, particularly in the river system and the aquatic life in the area.</w:t>
      </w:r>
    </w:p>
    <w:p>
      <w:pPr>
        <w:spacing w:before="360" w:after="120" w:line="480" w:lineRule="auto"/>
        <w:jc w:val="left"/>
      </w:pPr>
      <w:r>
        <w:rPr>
          <w:rFonts w:ascii="Georgia" w:hAnsi="Georgia" w:eastAsia="Georgia"/>
          <w:b/>
          <w:i w:val="0"/>
          <w:sz w:val="24"/>
        </w:rPr>
        <w:t>B11  ·  256 words  ·  0 hedges  ·  0.0 per 100 words</w:t>
      </w:r>
    </w:p>
    <w:p>
      <w:pPr>
        <w:spacing w:line="480" w:lineRule="auto" w:before="0" w:after="240"/>
        <w:jc w:val="both"/>
      </w:pPr>
      <w:r>
        <w:rPr>
          <w:rFonts w:ascii="Georgia" w:hAnsi="Georgia" w:eastAsia="Georgia"/>
          <w:b w:val="0"/>
          <w:i w:val="0"/>
          <w:color w:val="000000"/>
          <w:sz w:val="22"/>
        </w:rPr>
        <w:t xml:space="preserve">Currently, Central Luzon together with Calabarzon are regions that hold a pivotal position in the Philippines’ fishing industry. However, due to their adjacency to Manila Bay, which is highly polluted due to anthropogenic activities, these regions become vulnerable to bacterial infestation. Mycobacteriosis is a significant concern in cultivated milkfish, impacting both fish health and aquaculture productivity is reported in Nueva Ecija and in parts of Central Luzon. Hence, this study aimed to investigate the presence of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mycobacterial infections in cultivated milkfish collected from fish-supplying areas of Pampanga. Using the Ziehl-Neelsen stain for acid-fast bacteria detection, along with biochemical testing methods such as the catalase test and assessing growth in the presence of the Salt Tolerance Test, </w:t>
      </w:r>
      <w:r>
        <w:rPr>
          <w:rFonts w:ascii="Georgia" w:hAnsi="Georgia" w:eastAsia="Georgia"/>
          <w:b/>
          <w:strike w:val="0"/>
          <w:color w:val="000000"/>
          <w:sz w:val="22"/>
          <w:shd w:val="clear" w:color="auto" w:fill="BFBFBF"/>
        </w:rPr>
        <w:t>revealed the presence of acid-fast bacteria in the tissues of infected milkfish, confirming the occurrence of mycobacteriosis infection</w:t>
      </w:r>
      <w:r>
        <w:rPr>
          <w:rFonts w:ascii="Georgia" w:hAnsi="Georgia" w:eastAsia="Georgia"/>
          <w:b/>
          <w:i w:val="0"/>
          <w:color w:val="000000"/>
          <w:sz w:val="20"/>
        </w:rPr>
        <w:t xml:space="preserve"> [R]</w:t>
      </w:r>
      <w:r>
        <w:rPr>
          <w:rFonts w:ascii="Georgia" w:hAnsi="Georgia" w:eastAsia="Georgia"/>
          <w:b w:val="0"/>
          <w:i w:val="0"/>
          <w:color w:val="000000"/>
          <w:sz w:val="22"/>
        </w:rPr>
        <w:t xml:space="preserve">.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w:t>
      </w:r>
      <w:r>
        <w:rPr>
          <w:rFonts w:ascii="Georgia" w:hAnsi="Georgia" w:eastAsia="Georgia"/>
          <w:b/>
          <w:strike w:val="0"/>
          <w:color w:val="000000"/>
          <w:sz w:val="22"/>
          <w:shd w:val="clear" w:color="auto" w:fill="BFBFBF"/>
        </w:rPr>
        <w:t>the combination of Ziehl-Neelsen staining, biochemical testing like the catalase test, and evaluating growth in the presence of the Salt Tolerance Test provides a comprehensive approach for diagnosing and studying mycobacteriosis in cultivated milkfish</w:t>
      </w:r>
      <w:r>
        <w:rPr>
          <w:rFonts w:ascii="Georgia" w:hAnsi="Georgia" w:eastAsia="Georgia"/>
          <w:b/>
          <w:i w:val="0"/>
          <w:color w:val="000000"/>
          <w:sz w:val="20"/>
        </w:rPr>
        <w:t xml:space="preserve"> [G]</w:t>
      </w:r>
      <w:r>
        <w:rPr>
          <w:rFonts w:ascii="Georgia" w:hAnsi="Georgia" w:eastAsia="Georgia"/>
          <w:b w:val="0"/>
          <w:i w:val="0"/>
          <w:color w:val="000000"/>
          <w:sz w:val="22"/>
        </w:rPr>
        <w:t xml:space="preserve">, offering insights that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guide effective management strategies to control the spread of this disease in aquaculture system.</w:t>
      </w:r>
    </w:p>
    <w:p>
      <w:pPr>
        <w:spacing w:before="360" w:after="120" w:line="480" w:lineRule="auto"/>
        <w:jc w:val="left"/>
      </w:pPr>
      <w:r>
        <w:rPr>
          <w:rFonts w:ascii="Georgia" w:hAnsi="Georgia" w:eastAsia="Georgia"/>
          <w:b/>
          <w:i w:val="0"/>
          <w:sz w:val="24"/>
        </w:rPr>
        <w:t>B12  ·  149 words  ·  0 hedges  ·  0.0 per 100 words</w:t>
      </w:r>
    </w:p>
    <w:p>
      <w:pPr>
        <w:spacing w:line="480" w:lineRule="auto" w:before="0" w:after="240"/>
        <w:jc w:val="both"/>
      </w:pPr>
      <w:r>
        <w:rPr>
          <w:rFonts w:ascii="Georgia" w:hAnsi="Georgia" w:eastAsia="Georgia"/>
          <w:b w:val="0"/>
          <w:i w:val="0"/>
          <w:color w:val="000000"/>
          <w:sz w:val="22"/>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quorum quenching (QQ) activities. In this study, lactic acid bacteria were obtained from a parallel study, and the antimicrobial activity of the top 10 isolates was evaluated through spectrophotometric and turbidimetric analyses for the initial screening of gut isolates. </w:t>
      </w:r>
      <w:r>
        <w:rPr>
          <w:rFonts w:ascii="Georgia" w:hAnsi="Georgia" w:eastAsia="Georgia"/>
          <w:b/>
          <w:strike w:val="0"/>
          <w:color w:val="000000"/>
          <w:sz w:val="22"/>
          <w:shd w:val="clear" w:color="auto" w:fill="BFBFBF"/>
        </w:rPr>
        <w:t>Nine out of ten isolates exhibit quorum quenching activities by inhibiting the swarming motility of Pseudomonas aeruginosa</w:t>
      </w:r>
      <w:r>
        <w:rPr>
          <w:rFonts w:ascii="Georgia" w:hAnsi="Georgia" w:eastAsia="Georgia"/>
          <w:b/>
          <w:i w:val="0"/>
          <w:color w:val="000000"/>
          <w:sz w:val="20"/>
        </w:rPr>
        <w:t xml:space="preserve"> [R]</w:t>
      </w:r>
      <w:r>
        <w:rPr>
          <w:rFonts w:ascii="Georgia" w:hAnsi="Georgia" w:eastAsia="Georgia"/>
          <w:b w:val="0"/>
          <w:i w:val="0"/>
          <w:color w:val="000000"/>
          <w:sz w:val="22"/>
        </w:rPr>
        <w:t xml:space="preserve">. The metabolic compounds of the isolates were subjected to initial characterization using enzyme and pH neutralization, which revealed that organic acids were responsible for the inhibitory activity. </w:t>
      </w:r>
      <w:r>
        <w:rPr>
          <w:rFonts w:ascii="Georgia" w:hAnsi="Georgia" w:eastAsia="Georgia"/>
          <w:b/>
          <w:strike w:val="0"/>
          <w:color w:val="000000"/>
          <w:sz w:val="22"/>
          <w:shd w:val="clear" w:color="auto" w:fill="BFBFBF"/>
        </w:rPr>
        <w:t>The inhibition activity of LAB isolates against the quorum sensing-mediated swarming motility in P. aeruginosa was due to strong antibacterial activity</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B13  ·  148 words  ·  0 hedges  ·  0.0 per 100 words</w:t>
      </w:r>
    </w:p>
    <w:p>
      <w:pPr>
        <w:spacing w:line="480" w:lineRule="auto" w:before="0" w:after="240"/>
        <w:jc w:val="both"/>
      </w:pPr>
      <w:r>
        <w:rPr>
          <w:rFonts w:ascii="Georgia" w:hAnsi="Georgia" w:eastAsia="Georgia"/>
          <w:b w:val="0"/>
          <w:i w:val="0"/>
          <w:color w:val="000000"/>
          <w:sz w:val="22"/>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its antibacterial property is dose dependent.</w:t>
      </w:r>
    </w:p>
    <w:p>
      <w:pPr>
        <w:spacing w:before="360" w:after="120" w:line="480" w:lineRule="auto"/>
        <w:jc w:val="left"/>
      </w:pPr>
      <w:r>
        <w:rPr>
          <w:rFonts w:ascii="Georgia" w:hAnsi="Georgia" w:eastAsia="Georgia"/>
          <w:b/>
          <w:i w:val="0"/>
          <w:sz w:val="24"/>
        </w:rPr>
        <w:t>B14  ·  242 words  ·  3 hedges  ·  1.24 per 100 words</w:t>
      </w:r>
    </w:p>
    <w:p>
      <w:pPr>
        <w:spacing w:line="480" w:lineRule="auto" w:before="0" w:after="240"/>
        <w:jc w:val="both"/>
      </w:pPr>
      <w:r>
        <w:rPr>
          <w:rFonts w:ascii="Georgia" w:hAnsi="Georgia" w:eastAsia="Georgia"/>
          <w:b w:val="0"/>
          <w:i w:val="0"/>
          <w:color w:val="000000"/>
          <w:sz w:val="22"/>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extraction efficiency favors the highly polar solvents than the non-polar solvents in determining the antifungal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E. indica against Colletotrichum spp.. The findings of this study attested that this specific type of grass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be used as biofungicide agent.</w:t>
      </w:r>
    </w:p>
    <w:p>
      <w:pPr>
        <w:spacing w:before="360" w:after="120" w:line="480" w:lineRule="auto"/>
        <w:jc w:val="left"/>
      </w:pPr>
      <w:r>
        <w:rPr>
          <w:rFonts w:ascii="Georgia" w:hAnsi="Georgia" w:eastAsia="Georgia"/>
          <w:b/>
          <w:i w:val="0"/>
          <w:sz w:val="24"/>
        </w:rPr>
        <w:t>B15  ·  131 words  ·  0 hedges  ·  0.0 per 100 words</w:t>
      </w:r>
    </w:p>
    <w:p>
      <w:pPr>
        <w:spacing w:line="480" w:lineRule="auto" w:before="0" w:after="240"/>
        <w:jc w:val="both"/>
      </w:pPr>
      <w:r>
        <w:rPr>
          <w:rFonts w:ascii="Georgia" w:hAnsi="Georgia" w:eastAsia="Georgia"/>
          <w:b w:val="0"/>
          <w:i w:val="0"/>
          <w:color w:val="000000"/>
          <w:sz w:val="22"/>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b/>
          <w:strike/>
          <w:color w:val="000000"/>
          <w:sz w:val="22"/>
        </w:rPr>
        <w:t>indicate</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variations in thermal stability among the different plate materials.</w:t>
      </w:r>
    </w:p>
    <w:p>
      <w:pPr>
        <w:spacing w:before="360" w:after="120" w:line="480" w:lineRule="auto"/>
        <w:jc w:val="left"/>
      </w:pPr>
      <w:r>
        <w:rPr>
          <w:rFonts w:ascii="Georgia" w:hAnsi="Georgia" w:eastAsia="Georgia"/>
          <w:b/>
          <w:i w:val="0"/>
          <w:sz w:val="24"/>
        </w:rPr>
        <w:t>B16  ·  223 words  ·  4 hedges  ·  1.79 per 100 words</w:t>
      </w:r>
    </w:p>
    <w:p>
      <w:pPr>
        <w:spacing w:line="480" w:lineRule="auto" w:before="0" w:after="240"/>
        <w:jc w:val="both"/>
      </w:pPr>
      <w:r>
        <w:rPr>
          <w:rFonts w:ascii="Georgia" w:hAnsi="Georgia" w:eastAsia="Georgia"/>
          <w:b w:val="0"/>
          <w:i w:val="0"/>
          <w:color w:val="000000"/>
          <w:sz w:val="22"/>
        </w:rPr>
        <w:t xml:space="preserve">Methicillin-resistant Staphylococcus aureus (MRSA) is a common and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severe pathogen that has developed resistance to several types of antibiotics. MRSA bacteria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survive long on surfaces and objects, including second-hand clothing (SHC). The increasing popularity of SHC or “ukay-ukay” in the Philippines, coupled with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three selected stalls in Sta. Cruz, Magalang, Pampanga.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public health risks associated with the handling and purchasing of second-hand clothing. This study, therefore, underscores the need for proper precautions to mitigate the spread of </w:t>
      </w:r>
      <w:r>
        <w:rPr>
          <w:rFonts w:ascii="Georgia" w:hAnsi="Georgia" w:eastAsia="Georgia"/>
          <w:b/>
          <w:strike w:val="0"/>
          <w:color w:val="000000"/>
          <w:sz w:val="22"/>
          <w:shd w:val="clear" w:color="auto" w:fill="FFFF00"/>
        </w:rPr>
        <w:t>potentially</w:t>
      </w:r>
      <w:r>
        <w:rPr>
          <w:rFonts w:ascii="Georgia" w:hAnsi="Georgia" w:eastAsia="Georgia"/>
          <w:b/>
          <w:i w:val="0"/>
          <w:color w:val="ED7D31"/>
          <w:sz w:val="20"/>
        </w:rPr>
        <w:t xml:space="preserve"> (EC)</w:t>
      </w:r>
      <w:r>
        <w:rPr>
          <w:rFonts w:ascii="Georgia" w:hAnsi="Georgia" w:eastAsia="Georgia"/>
          <w:b w:val="0"/>
          <w:i w:val="0"/>
          <w:color w:val="000000"/>
          <w:sz w:val="22"/>
        </w:rPr>
        <w:t xml:space="preserve"> harmful bacteria, including MRSA, on second-hand clothing. It highlights the importance of raising awareness among both vendors and consumers about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health risks associated with these garments.</w:t>
      </w:r>
    </w:p>
    <w:p>
      <w:pPr>
        <w:spacing w:before="360" w:after="120" w:line="480" w:lineRule="auto"/>
        <w:jc w:val="left"/>
      </w:pPr>
      <w:r>
        <w:rPr>
          <w:rFonts w:ascii="Georgia" w:hAnsi="Georgia" w:eastAsia="Georgia"/>
          <w:b/>
          <w:i w:val="0"/>
          <w:sz w:val="24"/>
        </w:rPr>
        <w:t>B17  ·  243 words  ·  2 hedges  ·  0.82 per 100 words</w:t>
      </w:r>
    </w:p>
    <w:p>
      <w:pPr>
        <w:spacing w:line="480" w:lineRule="auto" w:before="0" w:after="240"/>
        <w:jc w:val="both"/>
      </w:pPr>
      <w:r>
        <w:rPr>
          <w:rFonts w:ascii="Georgia" w:hAnsi="Georgia" w:eastAsia="Georgia"/>
          <w:b w:val="0"/>
          <w:i w:val="0"/>
          <w:color w:val="000000"/>
          <w:sz w:val="22"/>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by the reduction of DPPH radicals. The TLC-MTT overlay assay showed that the extract exhibits antibacterial activity against S. aureus but was ineffective against E. coli,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selective antibacterial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The findings indicate that P. propinquum fruit ethanolic extract contains bioactive compounds with antioxidant and selective antibacterial properties. Further studies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focus on the isolation and characterization of its active compounds, their mechanisms of action, and their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pharmaceutical applications.</w:t>
      </w:r>
    </w:p>
    <w:p>
      <w:pPr>
        <w:spacing w:before="360" w:after="120" w:line="480" w:lineRule="auto"/>
        <w:jc w:val="left"/>
      </w:pPr>
      <w:r>
        <w:rPr>
          <w:rFonts w:ascii="Georgia" w:hAnsi="Georgia" w:eastAsia="Georgia"/>
          <w:b/>
          <w:i w:val="0"/>
          <w:sz w:val="24"/>
        </w:rPr>
        <w:t>B18  ·  286 words  ·  1 hedges  ·  0.35 per 100 words</w:t>
      </w:r>
    </w:p>
    <w:p>
      <w:pPr>
        <w:spacing w:line="480" w:lineRule="auto" w:before="0" w:after="240"/>
        <w:jc w:val="both"/>
      </w:pPr>
      <w:r>
        <w:rPr>
          <w:rFonts w:ascii="Georgia" w:hAnsi="Georgia" w:eastAsia="Georgia"/>
          <w:b w:val="0"/>
          <w:i w:val="0"/>
          <w:color w:val="000000"/>
          <w:sz w:val="22"/>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pPr>
        <w:spacing w:before="360" w:after="120" w:line="480" w:lineRule="auto"/>
        <w:jc w:val="left"/>
      </w:pPr>
      <w:r>
        <w:rPr>
          <w:rFonts w:ascii="Georgia" w:hAnsi="Georgia" w:eastAsia="Georgia"/>
          <w:b/>
          <w:i w:val="0"/>
          <w:sz w:val="24"/>
        </w:rPr>
        <w:t>B19  ·  290 words  ·  1 hedges  ·  0.34 per 100 words</w:t>
      </w:r>
    </w:p>
    <w:p>
      <w:pPr>
        <w:spacing w:line="480" w:lineRule="auto" w:before="0" w:after="240"/>
        <w:jc w:val="both"/>
      </w:pPr>
      <w:r>
        <w:rPr>
          <w:rFonts w:ascii="Georgia" w:hAnsi="Georgia" w:eastAsia="Georgia"/>
          <w:b w:val="0"/>
          <w:i w:val="0"/>
          <w:color w:val="000000"/>
          <w:sz w:val="22"/>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Barangay Batang 2nd, 14 visitors in the Batang 2nd Staging Area,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hAnsi="Georgia"/>
          <w:b/>
          <w:strike/>
          <w:color w:val="000000"/>
          <w:sz w:val="22"/>
        </w:rPr>
        <w:t>should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address the </w:t>
      </w:r>
      <w:r>
        <w:rPr>
          <w:rFonts w:ascii="Georgia" w:hAnsi="Georgia" w:eastAsia="Georgia"/>
          <w:b/>
          <w:strike w:val="0"/>
          <w:color w:val="FFFFFF"/>
          <w:sz w:val="22"/>
          <w:shd w:val="clear" w:color="auto" w:fill="FF0000"/>
        </w:rPr>
        <w:t>possible</w:t>
      </w:r>
      <w:r>
        <w:rPr>
          <w:rFonts w:ascii="Georgia" w:hAnsi="Georgia" w:eastAsia="Georgia"/>
          <w:b/>
          <w:i w:val="0"/>
          <w:color w:val="ED7D31"/>
          <w:sz w:val="20"/>
        </w:rPr>
        <w:t xml:space="preserve"> (EC)</w:t>
      </w:r>
      <w:r>
        <w:rPr>
          <w:rFonts w:ascii="Georgia" w:hAnsi="Georgia" w:eastAsia="Georgia"/>
          <w:b w:val="0"/>
          <w:i w:val="0"/>
          <w:color w:val="000000"/>
          <w:sz w:val="22"/>
        </w:rPr>
        <w:t xml:space="preserve"> negative impacts of tourism activities and manage the carrying capacity for sustainable tourism.</w:t>
      </w:r>
    </w:p>
    <w:p>
      <w:pPr>
        <w:spacing w:before="360" w:after="120" w:line="480" w:lineRule="auto"/>
        <w:jc w:val="left"/>
      </w:pPr>
      <w:r>
        <w:rPr>
          <w:rFonts w:ascii="Georgia" w:hAnsi="Georgia" w:eastAsia="Georgia"/>
          <w:b/>
          <w:i w:val="0"/>
          <w:sz w:val="24"/>
        </w:rPr>
        <w:t>B20  ·  223 words  ·  1 hedges  ·  0.45 per 100 words</w:t>
      </w:r>
    </w:p>
    <w:p>
      <w:pPr>
        <w:spacing w:line="480" w:lineRule="auto" w:before="0" w:after="240"/>
        <w:jc w:val="both"/>
      </w:pPr>
      <w:r>
        <w:rPr>
          <w:rFonts w:ascii="Georgia" w:hAnsi="Georgia" w:eastAsia="Georgia"/>
          <w:b w:val="0"/>
          <w:i w:val="0"/>
          <w:color w:val="000000"/>
          <w:sz w:val="22"/>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Trichoderma harzianum among the four isolates. The results </w:t>
      </w:r>
      <w:r>
        <w:rPr>
          <w:rFonts w:ascii="Georgia" w:hAnsi="Georgia"/>
          <w:b/>
          <w:strike/>
          <w:color w:val="000000"/>
          <w:sz w:val="22"/>
        </w:rPr>
        <w:t>indicate</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eastAsia="Georgia"/>
          <w:b/>
          <w:strike w:val="0"/>
          <w:color w:val="FFFFFF"/>
          <w:sz w:val="22"/>
          <w:shd w:val="clear" w:color="auto" w:fill="FF0000"/>
        </w:rPr>
        <w:t>suggesting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 fungus had a similar impact on the growth of all four test variables.</w:t>
      </w:r>
    </w:p>
    <w:p>
      <w:pPr>
        <w:spacing w:before="480" w:after="240" w:line="480" w:lineRule="auto"/>
        <w:jc w:val="center"/>
      </w:pPr>
      <w:r>
        <w:rPr>
          <w:rFonts w:ascii="Georgia" w:hAnsi="Georgia" w:eastAsia="Georgia"/>
          <w:b/>
          <w:i w:val="0"/>
          <w:sz w:val="24"/>
        </w:rPr>
        <w:t>Veterinary Medicine (VM1–VM20)</w:t>
      </w:r>
    </w:p>
    <w:p>
      <w:pPr>
        <w:spacing w:before="360" w:after="120" w:line="480" w:lineRule="auto"/>
        <w:jc w:val="left"/>
      </w:pPr>
      <w:r>
        <w:rPr>
          <w:rFonts w:ascii="Georgia" w:hAnsi="Georgia" w:eastAsia="Georgia"/>
          <w:b/>
          <w:i w:val="0"/>
          <w:sz w:val="24"/>
        </w:rPr>
        <w:t>VM1  ·  211 words  ·  0 hedges  ·  0.0 per 100 words</w:t>
      </w:r>
    </w:p>
    <w:p>
      <w:pPr>
        <w:spacing w:line="480" w:lineRule="auto" w:before="0" w:after="240"/>
        <w:jc w:val="both"/>
      </w:pPr>
      <w:r>
        <w:rPr>
          <w:rFonts w:ascii="Georgia" w:hAnsi="Georgia" w:eastAsia="Georgia"/>
          <w:b w:val="0"/>
          <w:i w:val="0"/>
          <w:color w:val="000000"/>
          <w:sz w:val="22"/>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hAnsi="Georgia" w:eastAsia="Georgia"/>
          <w:b/>
          <w:strike w:val="0"/>
          <w:color w:val="000000"/>
          <w:sz w:val="22"/>
          <w:shd w:val="clear" w:color="auto" w:fill="BFBFBF"/>
        </w:rPr>
        <w:t>T1 revealed that Zoletil® alone is not enough to fully induce Stage 3 anesthesia in zebrafish</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w:t>
      </w:r>
      <w:r>
        <w:rPr>
          <w:rFonts w:ascii="Georgia" w:hAnsi="Georgia" w:eastAsia="Georgia"/>
          <w:b/>
          <w:strike w:val="0"/>
          <w:color w:val="000000"/>
          <w:sz w:val="22"/>
          <w:shd w:val="clear" w:color="auto" w:fill="BFBFBF"/>
        </w:rPr>
        <w:t>when sodium bicarbonate was added, Stage 3 was achieved, while using only a small amount of Zoletil®</w:t>
      </w:r>
      <w:r>
        <w:rPr>
          <w:rFonts w:ascii="Georgia" w:hAnsi="Georgia" w:eastAsia="Georgia"/>
          <w:b/>
          <w:i w:val="0"/>
          <w:color w:val="000000"/>
          <w:sz w:val="20"/>
        </w:rPr>
        <w:t xml:space="preserve"> [C]</w:t>
      </w:r>
      <w:r>
        <w:rPr>
          <w:rFonts w:ascii="Georgia" w:hAnsi="Georgia" w:eastAsia="Georgia"/>
          <w:b w:val="0"/>
          <w:i w:val="0"/>
          <w:color w:val="000000"/>
          <w:sz w:val="22"/>
        </w:rPr>
        <w:t>. Additionally, it was also revealed that 40 g/L of sodium bicarbonate was sufficient to induce Stage 3 anesthesia in zebrafish.</w:t>
      </w:r>
    </w:p>
    <w:p>
      <w:pPr>
        <w:spacing w:before="360" w:after="120" w:line="480" w:lineRule="auto"/>
        <w:jc w:val="left"/>
      </w:pPr>
      <w:r>
        <w:rPr>
          <w:rFonts w:ascii="Georgia" w:hAnsi="Georgia" w:eastAsia="Georgia"/>
          <w:b/>
          <w:i w:val="0"/>
          <w:sz w:val="24"/>
        </w:rPr>
        <w:t>VM2  ·  358 words  ·  3 hedges  ·  0.84 per 100 words</w:t>
      </w:r>
    </w:p>
    <w:p>
      <w:pPr>
        <w:spacing w:line="480" w:lineRule="auto" w:before="0" w:after="240"/>
        <w:jc w:val="both"/>
      </w:pPr>
      <w:r>
        <w:rPr>
          <w:rFonts w:ascii="Georgia" w:hAnsi="Georgia" w:eastAsia="Georgia"/>
          <w:b w:val="0"/>
          <w:i w:val="0"/>
          <w:color w:val="000000"/>
          <w:sz w:val="22"/>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eastAsia="Georgia"/>
          <w:b/>
          <w:strike w:val="0"/>
          <w:color w:val="FFFFFF"/>
          <w:sz w:val="22"/>
          <w:shd w:val="clear" w:color="auto" w:fill="FF0000"/>
        </w:rPr>
        <w:t>indicating</w:t>
      </w:r>
      <w:r>
        <w:rPr>
          <w:rFonts w:ascii="Georgia" w:hAnsi="Georgia" w:eastAsia="Georgia"/>
          <w:b/>
          <w:i w:val="0"/>
          <w:color w:val="ED7D31"/>
          <w:sz w:val="20"/>
        </w:rPr>
        <w:t xml:space="preserve"> (EC)</w:t>
      </w:r>
      <w:r>
        <w:rPr>
          <w:rFonts w:ascii="Georgia" w:hAnsi="Georgia" w:eastAsia="Georgia"/>
          <w:b w:val="0"/>
          <w:i w:val="0"/>
          <w:color w:val="000000"/>
          <w:sz w:val="22"/>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eastAsia="Georgia"/>
          <w:b/>
          <w:strike w:val="0"/>
          <w:color w:val="FFFFFF"/>
          <w:sz w:val="22"/>
          <w:shd w:val="clear" w:color="auto" w:fill="FF0000"/>
        </w:rPr>
        <w:t>likely</w:t>
      </w:r>
      <w:r>
        <w:rPr>
          <w:rFonts w:ascii="Georgia" w:hAnsi="Georgia" w:eastAsia="Georgia"/>
          <w:b/>
          <w:i w:val="0"/>
          <w:color w:val="ED7D31"/>
          <w:sz w:val="20"/>
        </w:rPr>
        <w:t xml:space="preserve"> (EC)</w:t>
      </w:r>
      <w:r>
        <w:rPr>
          <w:rFonts w:ascii="Georgia" w:hAnsi="Georgia" w:eastAsia="Georgia"/>
          <w:b w:val="0"/>
          <w:i w:val="0"/>
          <w:color w:val="000000"/>
          <w:sz w:val="22"/>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eastAsia="Georgia"/>
          <w:b/>
          <w:strike w:val="0"/>
          <w:color w:val="FFFFFF"/>
          <w:sz w:val="22"/>
          <w:shd w:val="clear" w:color="auto" w:fill="FF0000"/>
        </w:rPr>
        <w:t>likely</w:t>
      </w:r>
      <w:r>
        <w:rPr>
          <w:rFonts w:ascii="Georgia" w:hAnsi="Georgia" w:eastAsia="Georgia"/>
          <w:b/>
          <w:i w:val="0"/>
          <w:color w:val="ED7D31"/>
          <w:sz w:val="20"/>
        </w:rPr>
        <w:t xml:space="preserve"> (EC)</w:t>
      </w:r>
      <w:r>
        <w:rPr>
          <w:rFonts w:ascii="Georgia" w:hAnsi="Georgia" w:eastAsia="Georgia"/>
          <w:b w:val="0"/>
          <w:i w:val="0"/>
          <w:color w:val="000000"/>
          <w:sz w:val="22"/>
        </w:rPr>
        <w:t xml:space="preserve"> to engage in responsible and humane behavior toward stray animals. The results obtained served as baseline information for future endeavors in promoting responsible pet ownership for the welfare of companion animals and the community.</w:t>
      </w:r>
    </w:p>
    <w:p>
      <w:pPr>
        <w:spacing w:before="360" w:after="120" w:line="480" w:lineRule="auto"/>
        <w:jc w:val="left"/>
      </w:pPr>
      <w:r>
        <w:rPr>
          <w:rFonts w:ascii="Georgia" w:hAnsi="Georgia" w:eastAsia="Georgia"/>
          <w:b/>
          <w:i w:val="0"/>
          <w:sz w:val="24"/>
        </w:rPr>
        <w:t>VM3  ·  296 words  ·  0 hedges  ·  0.0 per 100 words</w:t>
      </w:r>
    </w:p>
    <w:p>
      <w:pPr>
        <w:spacing w:line="480" w:lineRule="auto" w:before="0" w:after="240"/>
        <w:jc w:val="both"/>
      </w:pPr>
      <w:r>
        <w:rPr>
          <w:rFonts w:ascii="Georgia" w:hAnsi="Georgia" w:eastAsia="Georgia"/>
          <w:b w:val="0"/>
          <w:i w:val="0"/>
          <w:color w:val="000000"/>
          <w:sz w:val="22"/>
        </w:rPr>
        <w:t xml:space="preserve">This study assessed the profiling, occurrence and antibiotic resistance of Escherichia coli and Salmonella spp., in retail chicken eggs sold in Magalang Public Market.. The study aimed to profile handling practices of egg vendors, detect E. coli and Salmonella spp. on retail chicken eggs sold in Magalang Public market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hAnsi="Georgia" w:eastAsia="Georgia"/>
          <w:b/>
          <w:strike w:val="0"/>
          <w:color w:val="000000"/>
          <w:sz w:val="22"/>
          <w:shd w:val="clear" w:color="auto" w:fill="BFBFBF"/>
        </w:rPr>
        <w:t>the evaluation of retail egg vendors showed a major issue of reusing the egg trays across vendors which has been strongly linked to bacterial growth on eggshells, yolks and albumen, with p-values of 0.030 and 0.014, respectively</w:t>
      </w:r>
      <w:r>
        <w:rPr>
          <w:rFonts w:ascii="Georgia" w:hAnsi="Georgia" w:eastAsia="Georgia"/>
          <w:b/>
          <w:i w:val="0"/>
          <w:color w:val="000000"/>
          <w:sz w:val="20"/>
        </w:rPr>
        <w:t xml:space="preserve"> [C]</w:t>
      </w:r>
      <w:r>
        <w:rPr>
          <w:rFonts w:ascii="Georgia" w:hAnsi="Georgia" w:eastAsia="Georgia"/>
          <w:b w:val="0"/>
          <w:i w:val="0"/>
          <w:color w:val="000000"/>
          <w:sz w:val="22"/>
        </w:rPr>
        <w:t xml:space="preserve">. The findings </w:t>
      </w:r>
      <w:r>
        <w:rPr>
          <w:rFonts w:ascii="Georgia" w:hAnsi="Georgia"/>
          <w:b/>
          <w:strike/>
          <w:color w:val="000000"/>
          <w:sz w:val="22"/>
        </w:rPr>
        <w:t>suggests</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the need for assessment of knowledge, attitudes and practices of retail egg vendors about food safety and regular antimicrobial resistance monitoring on retail eggs.</w:t>
      </w:r>
    </w:p>
    <w:p>
      <w:pPr>
        <w:spacing w:before="360" w:after="120" w:line="480" w:lineRule="auto"/>
        <w:jc w:val="left"/>
      </w:pPr>
      <w:r>
        <w:rPr>
          <w:rFonts w:ascii="Georgia" w:hAnsi="Georgia" w:eastAsia="Georgia"/>
          <w:b/>
          <w:i w:val="0"/>
          <w:sz w:val="24"/>
        </w:rPr>
        <w:t>VM4  ·  250 words  ·  0 hedges  ·  0.0 per 100 words</w:t>
      </w:r>
    </w:p>
    <w:p>
      <w:pPr>
        <w:spacing w:line="480" w:lineRule="auto" w:before="0" w:after="240"/>
        <w:jc w:val="both"/>
      </w:pPr>
      <w:r>
        <w:rPr>
          <w:rFonts w:ascii="Georgia" w:hAnsi="Georgia" w:eastAsia="Georgia"/>
          <w:b w:val="0"/>
          <w:i w:val="0"/>
          <w:color w:val="000000"/>
          <w:sz w:val="22"/>
        </w:rPr>
        <w:t xml:space="preserve">The Escherichia coli and Campylobacter jejuni are two of the foodborne pathogens affecting public health around the world. A cross-sectional bacteriological study was conducted from January to February 2025 in Mexico, Pampanga.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hAnsi="Georgia" w:eastAsia="Georgia"/>
          <w:b/>
          <w:strike w:val="0"/>
          <w:color w:val="000000"/>
          <w:sz w:val="22"/>
          <w:shd w:val="clear" w:color="auto" w:fill="BFBFBF"/>
        </w:rPr>
        <w:t>Results indicated that most vendors lacked formal training in milk-handling (100 %) did not use refrigeration, new bottles, or any preservation methods (100%)</w:t>
      </w:r>
      <w:r>
        <w:rPr>
          <w:rFonts w:ascii="Georgia" w:hAnsi="Georgia" w:eastAsia="Georgia"/>
          <w:b/>
          <w:i w:val="0"/>
          <w:color w:val="000000"/>
          <w:sz w:val="20"/>
        </w:rPr>
        <w:t xml:space="preserve"> [R]</w:t>
      </w:r>
      <w:r>
        <w:rPr>
          <w:rFonts w:ascii="Georgia" w:hAnsi="Georgia" w:eastAsia="Georgia"/>
          <w:b w:val="0"/>
          <w:i w:val="0"/>
          <w:color w:val="000000"/>
          <w:sz w:val="22"/>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b/>
          <w:strike/>
          <w:color w:val="000000"/>
          <w:sz w:val="22"/>
        </w:rPr>
        <w:t>suggest</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the need to improve training, regulation of milk storage, and the enforcement of labeling and sanitation standards to improve public health safety in the milk supply chain.</w:t>
      </w:r>
    </w:p>
    <w:p>
      <w:pPr>
        <w:spacing w:before="360" w:after="120" w:line="480" w:lineRule="auto"/>
        <w:jc w:val="left"/>
      </w:pPr>
      <w:r>
        <w:rPr>
          <w:rFonts w:ascii="Georgia" w:hAnsi="Georgia" w:eastAsia="Georgia"/>
          <w:b/>
          <w:i w:val="0"/>
          <w:sz w:val="24"/>
        </w:rPr>
        <w:t>VM5  ·  256 words  ·  1 hedges  ·  0.39 per 100 words</w:t>
      </w:r>
    </w:p>
    <w:p>
      <w:pPr>
        <w:spacing w:line="480" w:lineRule="auto" w:before="0" w:after="240"/>
        <w:jc w:val="both"/>
      </w:pPr>
      <w:r>
        <w:rPr>
          <w:rFonts w:ascii="Georgia" w:hAnsi="Georgia" w:eastAsia="Georgia"/>
          <w:b w:val="0"/>
          <w:i w:val="0"/>
          <w:color w:val="000000"/>
          <w:sz w:val="22"/>
        </w:rPr>
        <w:t xml:space="preserve">The prevalence of dermatophytosis and emerging drug resistance underscores the need for alternative therapeutic approaches, leading to a focus on medicinal plants. This study explores the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M. calabura L. as a source of antifungal agents, warranting further investigation into its therapeutic applications and formulation for dermatophytosis management.</w:t>
      </w:r>
    </w:p>
    <w:p>
      <w:pPr>
        <w:spacing w:before="360" w:after="120" w:line="480" w:lineRule="auto"/>
        <w:jc w:val="left"/>
      </w:pPr>
      <w:r>
        <w:rPr>
          <w:rFonts w:ascii="Georgia" w:hAnsi="Georgia" w:eastAsia="Georgia"/>
          <w:b/>
          <w:i w:val="0"/>
          <w:sz w:val="24"/>
        </w:rPr>
        <w:t>VM6  ·  278 words  ·  0 hedges  ·  0.0 per 100 words</w:t>
      </w:r>
    </w:p>
    <w:p>
      <w:pPr>
        <w:spacing w:line="480" w:lineRule="auto" w:before="0" w:after="240"/>
        <w:jc w:val="both"/>
      </w:pPr>
      <w:r>
        <w:rPr>
          <w:rFonts w:ascii="Georgia" w:hAnsi="Georgia" w:eastAsia="Georgia"/>
          <w:b w:val="0"/>
          <w:i w:val="0"/>
          <w:color w:val="000000"/>
          <w:sz w:val="22"/>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hAnsi="Georgia" w:eastAsia="Georgia"/>
          <w:b/>
          <w:strike w:val="0"/>
          <w:color w:val="000000"/>
          <w:sz w:val="22"/>
          <w:shd w:val="clear" w:color="auto" w:fill="BFBFBF"/>
        </w:rPr>
        <w:t>mean values for sodium between male and female NZW rabbits were found to be statistically different (p&lt;0.05)</w:t>
      </w:r>
      <w:r>
        <w:rPr>
          <w:rFonts w:ascii="Georgia" w:hAnsi="Georgia" w:eastAsia="Georgia"/>
          <w:b/>
          <w:i w:val="0"/>
          <w:color w:val="000000"/>
          <w:sz w:val="20"/>
        </w:rPr>
        <w:t xml:space="preserve"> [R]</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VM7  ·  174 words  ·  1 hedges  ·  0.57 per 100 words</w:t>
      </w:r>
    </w:p>
    <w:p>
      <w:pPr>
        <w:spacing w:line="480" w:lineRule="auto" w:before="0" w:after="240"/>
        <w:jc w:val="both"/>
      </w:pPr>
      <w:r>
        <w:rPr>
          <w:rFonts w:ascii="Georgia" w:hAnsi="Georgia" w:eastAsia="Georgia"/>
          <w:b w:val="0"/>
          <w:i w:val="0"/>
          <w:color w:val="000000"/>
          <w:sz w:val="22"/>
        </w:rPr>
        <w:t xml:space="preserve">Canine heartworm (Dirofilaria immitis) infection is a significant health concern for dogs in many regions. This study investigated the association between clinical signs and microscopy/serological detection of heartworm at the Angeles City Veterinary Clinic.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b/>
          <w:strike/>
          <w:color w:val="000000"/>
          <w:sz w:val="22"/>
        </w:rPr>
        <w:t>can</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collectively contribute to the effective management and prevention of heartworm disease in the local canine population. Further research with larger sample sizes and diverse populations is </w:t>
      </w:r>
      <w:r>
        <w:rPr>
          <w:rFonts w:ascii="Georgia" w:hAnsi="Georgia"/>
          <w:b/>
          <w:strike/>
          <w:color w:val="000000"/>
          <w:sz w:val="22"/>
        </w:rPr>
        <w:t>needed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validate these findings and enhance our understanding of heartworm infection in the study area.</w:t>
      </w:r>
    </w:p>
    <w:p>
      <w:pPr>
        <w:spacing w:before="360" w:after="120" w:line="480" w:lineRule="auto"/>
        <w:jc w:val="left"/>
      </w:pPr>
      <w:r>
        <w:rPr>
          <w:rFonts w:ascii="Georgia" w:hAnsi="Georgia" w:eastAsia="Georgia"/>
          <w:b/>
          <w:i w:val="0"/>
          <w:sz w:val="24"/>
        </w:rPr>
        <w:t>VM8  ·  253 words  ·  1 hedges  ·  0.4 per 100 words</w:t>
      </w:r>
    </w:p>
    <w:p>
      <w:pPr>
        <w:spacing w:line="480" w:lineRule="auto" w:before="0" w:after="240"/>
        <w:jc w:val="both"/>
      </w:pPr>
      <w:r>
        <w:rPr>
          <w:rFonts w:ascii="Georgia" w:hAnsi="Georgia" w:eastAsia="Georgia"/>
          <w:b w:val="0"/>
          <w:i w:val="0"/>
          <w:color w:val="000000"/>
          <w:sz w:val="22"/>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both plant extracts as natural anthelmintics, with tamarind showing superior efficacy. The study supports the development of plant-based alternatives for the sustainable control of fasciolosis in livestock.</w:t>
      </w:r>
    </w:p>
    <w:p>
      <w:pPr>
        <w:spacing w:before="360" w:after="120" w:line="480" w:lineRule="auto"/>
        <w:jc w:val="left"/>
      </w:pPr>
      <w:r>
        <w:rPr>
          <w:rFonts w:ascii="Georgia" w:hAnsi="Georgia" w:eastAsia="Georgia"/>
          <w:b/>
          <w:i w:val="0"/>
          <w:sz w:val="24"/>
        </w:rPr>
        <w:t>VM9  ·  430 words  ·  0 hedges  ·  0.0 per 100 words</w:t>
      </w:r>
    </w:p>
    <w:p>
      <w:pPr>
        <w:spacing w:line="480" w:lineRule="auto" w:before="0" w:after="240"/>
        <w:jc w:val="both"/>
      </w:pPr>
      <w:r>
        <w:rPr>
          <w:rFonts w:ascii="Georgia" w:hAnsi="Georgia" w:eastAsia="Georgia"/>
          <w:b w:val="0"/>
          <w:i w:val="0"/>
          <w:color w:val="000000"/>
          <w:sz w:val="22"/>
        </w:rPr>
        <w:t xml:space="preserve">Plastic pollution has been a long-standing environmental concern due to improper waste management. Its persistence in marine environments, particularly in the form of microplastics, posed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health risks to aquatic species and humans through seafood consumption. This study was conducted to detect microplastics in Whiteleg shrimp (Litopenaeus vannamei) sold at the Magalang Pampanga Market.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w:t>
      </w:r>
      <w:r>
        <w:rPr>
          <w:rFonts w:ascii="Georgia" w:hAnsi="Georgia" w:eastAsia="Georgia"/>
          <w:b/>
          <w:strike w:val="0"/>
          <w:color w:val="000000"/>
          <w:sz w:val="22"/>
          <w:shd w:val="clear" w:color="auto" w:fill="BFBFBF"/>
        </w:rPr>
        <w:t>A total of 181 microplastics were detected across all samples, wherein the concentration of microplastics was higher in Treatment 1</w:t>
      </w:r>
      <w:r>
        <w:rPr>
          <w:rFonts w:ascii="Georgia" w:hAnsi="Georgia" w:eastAsia="Georgia"/>
          <w:b/>
          <w:i w:val="0"/>
          <w:color w:val="000000"/>
          <w:sz w:val="20"/>
        </w:rPr>
        <w:t xml:space="preserve"> [R]</w:t>
      </w:r>
      <w:r>
        <w:rPr>
          <w:rFonts w:ascii="Georgia" w:hAnsi="Georgia" w:eastAsia="Georgia"/>
          <w:b w:val="0"/>
          <w:i w:val="0"/>
          <w:color w:val="000000"/>
          <w:sz w:val="22"/>
        </w:rPr>
        <w:t xml:space="preserve">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b/>
          <w:strike/>
          <w:color w:val="000000"/>
          <w:sz w:val="22"/>
        </w:rPr>
        <w:t>recommend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pPr>
        <w:spacing w:before="360" w:after="120" w:line="480" w:lineRule="auto"/>
        <w:jc w:val="left"/>
      </w:pPr>
      <w:r>
        <w:rPr>
          <w:rFonts w:ascii="Georgia" w:hAnsi="Georgia" w:eastAsia="Georgia"/>
          <w:b/>
          <w:i w:val="0"/>
          <w:sz w:val="24"/>
        </w:rPr>
        <w:t>VM10  ·  277 words  ·  0 hedges  ·  0.0 per 100 words</w:t>
      </w:r>
    </w:p>
    <w:p>
      <w:pPr>
        <w:spacing w:line="480" w:lineRule="auto" w:before="0" w:after="240"/>
        <w:jc w:val="both"/>
      </w:pPr>
      <w:r>
        <w:rPr>
          <w:rFonts w:ascii="Georgia" w:hAnsi="Georgia" w:eastAsia="Georgia"/>
          <w:b w:val="0"/>
          <w:i w:val="0"/>
          <w:color w:val="000000"/>
          <w:sz w:val="22"/>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hAnsi="Georgia" w:eastAsia="Georgia"/>
          <w:b/>
          <w:strike w:val="0"/>
          <w:color w:val="000000"/>
          <w:sz w:val="22"/>
          <w:shd w:val="clear" w:color="auto" w:fill="BFBFBF"/>
        </w:rPr>
        <w:t>In general, lung samples were sensitive to all antibiotics except amoxicillin-clavulanic acid</w:t>
      </w:r>
      <w:r>
        <w:rPr>
          <w:rFonts w:ascii="Georgia" w:hAnsi="Georgia" w:eastAsia="Georgia"/>
          <w:b/>
          <w:i w:val="0"/>
          <w:color w:val="000000"/>
          <w:sz w:val="20"/>
        </w:rPr>
        <w:t xml:space="preserve"> [G]</w:t>
      </w:r>
      <w:r>
        <w:rPr>
          <w:rFonts w:ascii="Georgia" w:hAnsi="Georgia" w:eastAsia="Georgia"/>
          <w:b w:val="0"/>
          <w:i w:val="0"/>
          <w:color w:val="000000"/>
          <w:sz w:val="22"/>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hAnsi="Georgia" w:eastAsia="Georgia"/>
          <w:b/>
          <w:strike w:val="0"/>
          <w:color w:val="000000"/>
          <w:sz w:val="22"/>
          <w:shd w:val="clear" w:color="auto" w:fill="BFBFBF"/>
        </w:rPr>
        <w:t>the data showed that lung and chick samples exhibited marked resistance</w:t>
      </w:r>
      <w:r>
        <w:rPr>
          <w:rFonts w:ascii="Georgia" w:hAnsi="Georgia" w:eastAsia="Georgia"/>
          <w:b/>
          <w:i w:val="0"/>
          <w:color w:val="000000"/>
          <w:sz w:val="20"/>
        </w:rPr>
        <w:t xml:space="preserve"> [R]</w:t>
      </w:r>
      <w:r>
        <w:rPr>
          <w:rFonts w:ascii="Georgia" w:hAnsi="Georgia" w:eastAsia="Georgia"/>
          <w:b w:val="0"/>
          <w:i w:val="0"/>
          <w:color w:val="000000"/>
          <w:sz w:val="22"/>
        </w:rPr>
        <w:t>.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pPr>
        <w:spacing w:before="360" w:after="120" w:line="480" w:lineRule="auto"/>
        <w:jc w:val="left"/>
      </w:pPr>
      <w:r>
        <w:rPr>
          <w:rFonts w:ascii="Georgia" w:hAnsi="Georgia" w:eastAsia="Georgia"/>
          <w:b/>
          <w:i w:val="0"/>
          <w:sz w:val="24"/>
        </w:rPr>
        <w:t>VM11  ·  236 words  ·  0 hedges  ·  0.0 per 100 words</w:t>
      </w:r>
    </w:p>
    <w:p>
      <w:pPr>
        <w:spacing w:line="480" w:lineRule="auto" w:before="0" w:after="240"/>
        <w:jc w:val="both"/>
      </w:pPr>
      <w:r>
        <w:rPr>
          <w:rFonts w:ascii="Georgia" w:hAnsi="Georgia" w:eastAsia="Georgia"/>
          <w:b w:val="0"/>
          <w:i w:val="0"/>
          <w:color w:val="000000"/>
          <w:sz w:val="22"/>
        </w:rPr>
        <w:t xml:space="preserve">This study was conducted to help determine the overall health of stray cats within the vicinity of Dr. Andres M. Luciano District Hospital, Magalang, Pampanga,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b/>
          <w:strike/>
          <w:color w:val="000000"/>
          <w:sz w:val="22"/>
        </w:rPr>
        <w:t>possibility</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pPr>
        <w:spacing w:before="360" w:after="120" w:line="480" w:lineRule="auto"/>
        <w:jc w:val="left"/>
      </w:pPr>
      <w:r>
        <w:rPr>
          <w:rFonts w:ascii="Georgia" w:hAnsi="Georgia" w:eastAsia="Georgia"/>
          <w:b/>
          <w:i w:val="0"/>
          <w:sz w:val="24"/>
        </w:rPr>
        <w:t>VM12  ·  182 words  ·  1 hedges  ·  0.55 per 100 words</w:t>
      </w:r>
    </w:p>
    <w:p>
      <w:pPr>
        <w:spacing w:line="480" w:lineRule="auto" w:before="0" w:after="240"/>
        <w:jc w:val="both"/>
      </w:pPr>
      <w:r>
        <w:rPr>
          <w:rFonts w:ascii="Georgia" w:hAnsi="Georgia" w:eastAsia="Georgia"/>
          <w:b w:val="0"/>
          <w:i w:val="0"/>
          <w:color w:val="000000"/>
          <w:sz w:val="22"/>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meat retail stores in selected areas of Magalang, Pampanga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be effective in preventing, controlling, and managing the spread of ASF, but it is not conclusive that ASF is not present in the municipality of Magalang. Nevertheless,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pPr>
        <w:spacing w:before="360" w:after="120" w:line="480" w:lineRule="auto"/>
        <w:jc w:val="left"/>
      </w:pPr>
      <w:r>
        <w:rPr>
          <w:rFonts w:ascii="Georgia" w:hAnsi="Georgia" w:eastAsia="Georgia"/>
          <w:b/>
          <w:i w:val="0"/>
          <w:sz w:val="24"/>
        </w:rPr>
        <w:t>VM13  ·  215 words  ·  0 hedges  ·  0.0 per 100 words</w:t>
      </w:r>
    </w:p>
    <w:p>
      <w:pPr>
        <w:spacing w:line="480" w:lineRule="auto" w:before="0" w:after="240"/>
        <w:jc w:val="both"/>
      </w:pPr>
      <w:r>
        <w:rPr>
          <w:rFonts w:ascii="Georgia" w:hAnsi="Georgia" w:eastAsia="Georgia"/>
          <w:b w:val="0"/>
          <w:i w:val="0"/>
          <w:color w:val="000000"/>
          <w:sz w:val="22"/>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hAnsi="Georgia" w:eastAsia="Georgia"/>
          <w:b/>
          <w:strike w:val="0"/>
          <w:color w:val="000000"/>
          <w:sz w:val="22"/>
          <w:shd w:val="clear" w:color="auto" w:fill="BFBFBF"/>
        </w:rPr>
        <w:t>the differences between the groups were statistically significant</w:t>
      </w:r>
      <w:r>
        <w:rPr>
          <w:rFonts w:ascii="Georgia" w:hAnsi="Georgia" w:eastAsia="Georgia"/>
          <w:b/>
          <w:i w:val="0"/>
          <w:color w:val="000000"/>
          <w:sz w:val="20"/>
        </w:rPr>
        <w:t xml:space="preserve"> [R]</w:t>
      </w:r>
      <w:r>
        <w:rPr>
          <w:rFonts w:ascii="Georgia" w:hAnsi="Georgia" w:eastAsia="Georgia"/>
          <w:b w:val="0"/>
          <w:i w:val="0"/>
          <w:color w:val="000000"/>
          <w:sz w:val="22"/>
        </w:rPr>
        <w:t>. There were variations in the mean antibody titer measured among samples.</w:t>
      </w:r>
    </w:p>
    <w:p>
      <w:pPr>
        <w:spacing w:before="360" w:after="120" w:line="480" w:lineRule="auto"/>
        <w:jc w:val="left"/>
      </w:pPr>
      <w:r>
        <w:rPr>
          <w:rFonts w:ascii="Georgia" w:hAnsi="Georgia" w:eastAsia="Georgia"/>
          <w:b/>
          <w:i w:val="0"/>
          <w:sz w:val="24"/>
        </w:rPr>
        <w:t>VM14  ·  183 words  ·  0 hedges  ·  0.0 per 100 words</w:t>
      </w:r>
    </w:p>
    <w:p>
      <w:pPr>
        <w:spacing w:line="480" w:lineRule="auto" w:before="0" w:after="240"/>
        <w:jc w:val="both"/>
      </w:pPr>
      <w:r>
        <w:rPr>
          <w:rFonts w:ascii="Georgia" w:hAnsi="Georgia" w:eastAsia="Georgia"/>
          <w:b w:val="0"/>
          <w:i w:val="0"/>
          <w:color w:val="000000"/>
          <w:sz w:val="22"/>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b/>
          <w:strike/>
          <w:color w:val="000000"/>
          <w:sz w:val="22"/>
        </w:rPr>
        <w:t>indicated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pPr>
        <w:spacing w:before="360" w:after="120" w:line="480" w:lineRule="auto"/>
        <w:jc w:val="left"/>
      </w:pPr>
      <w:r>
        <w:rPr>
          <w:rFonts w:ascii="Georgia" w:hAnsi="Georgia" w:eastAsia="Georgia"/>
          <w:b/>
          <w:i w:val="0"/>
          <w:sz w:val="24"/>
        </w:rPr>
        <w:t>VM15  ·  258 words  ·  1 hedges  ·  0.39 per 100 words</w:t>
      </w:r>
    </w:p>
    <w:p>
      <w:pPr>
        <w:spacing w:line="480" w:lineRule="auto" w:before="0" w:after="240"/>
        <w:jc w:val="both"/>
      </w:pPr>
      <w:r>
        <w:rPr>
          <w:rFonts w:ascii="Georgia" w:hAnsi="Georgia" w:eastAsia="Georgia"/>
          <w:b w:val="0"/>
          <w:i w:val="0"/>
          <w:color w:val="000000"/>
          <w:sz w:val="22"/>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pPr>
        <w:spacing w:before="360" w:after="120" w:line="480" w:lineRule="auto"/>
        <w:jc w:val="left"/>
      </w:pPr>
      <w:r>
        <w:rPr>
          <w:rFonts w:ascii="Georgia" w:hAnsi="Georgia" w:eastAsia="Georgia"/>
          <w:b/>
          <w:i w:val="0"/>
          <w:sz w:val="24"/>
        </w:rPr>
        <w:t>VM16  ·  261 words  ·  0 hedges  ·  0.0 per 100 words</w:t>
      </w:r>
    </w:p>
    <w:p>
      <w:pPr>
        <w:spacing w:line="480" w:lineRule="auto" w:before="0" w:after="240"/>
        <w:jc w:val="both"/>
      </w:pPr>
      <w:r>
        <w:rPr>
          <w:rFonts w:ascii="Georgia" w:hAnsi="Georgia" w:eastAsia="Georgia"/>
          <w:b w:val="0"/>
          <w:i w:val="0"/>
          <w:color w:val="000000"/>
          <w:sz w:val="22"/>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hAnsi="Georgia" w:eastAsia="Georgia"/>
          <w:b/>
          <w:strike w:val="0"/>
          <w:color w:val="000000"/>
          <w:sz w:val="22"/>
          <w:shd w:val="clear" w:color="auto" w:fill="BFBFBF"/>
        </w:rPr>
        <w:t>Results revealed that Treatment 3, with 40% concentration of Noni had the highest zone of inhibition in vitro with comparable antibacterial activity as the positive control against S. aureus</w:t>
      </w:r>
      <w:r>
        <w:rPr>
          <w:rFonts w:ascii="Georgia" w:hAnsi="Georgia" w:eastAsia="Georgia"/>
          <w:b/>
          <w:i w:val="0"/>
          <w:color w:val="000000"/>
          <w:sz w:val="20"/>
        </w:rPr>
        <w:t xml:space="preserve"> [R]</w:t>
      </w:r>
      <w:r>
        <w:rPr>
          <w:rFonts w:ascii="Georgia" w:hAnsi="Georgia" w:eastAsia="Georgia"/>
          <w:b w:val="0"/>
          <w:i w:val="0"/>
          <w:color w:val="000000"/>
          <w:sz w:val="22"/>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hAnsi="Georgia" w:eastAsia="Georgia"/>
          <w:b/>
          <w:strike w:val="0"/>
          <w:color w:val="000000"/>
          <w:sz w:val="22"/>
          <w:shd w:val="clear" w:color="auto" w:fill="BFBFBF"/>
        </w:rPr>
        <w:t>Noni fruit ethanolic extract with 40% concentration has antibacterial property</w:t>
      </w:r>
      <w:r>
        <w:rPr>
          <w:rFonts w:ascii="Georgia" w:hAnsi="Georgia" w:eastAsia="Georgia"/>
          <w:b/>
          <w:i w:val="0"/>
          <w:color w:val="000000"/>
          <w:sz w:val="20"/>
        </w:rPr>
        <w:t xml:space="preserve"> [G]</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VM17  ·  232 words  ·  1 hedges  ·  0.43 per 100 words</w:t>
      </w:r>
    </w:p>
    <w:p>
      <w:pPr>
        <w:spacing w:line="480" w:lineRule="auto" w:before="0" w:after="240"/>
        <w:jc w:val="both"/>
      </w:pPr>
      <w:r>
        <w:rPr>
          <w:rFonts w:ascii="Georgia" w:hAnsi="Georgia" w:eastAsia="Georgia"/>
          <w:b w:val="0"/>
          <w:i w:val="0"/>
          <w:color w:val="000000"/>
          <w:sz w:val="22"/>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of butterfly pea flower aqueous extract in improving the survival of zebrafish at its larval stage.</w:t>
      </w:r>
    </w:p>
    <w:p>
      <w:pPr>
        <w:spacing w:before="360" w:after="120" w:line="480" w:lineRule="auto"/>
        <w:jc w:val="left"/>
      </w:pPr>
      <w:r>
        <w:rPr>
          <w:rFonts w:ascii="Georgia" w:hAnsi="Georgia" w:eastAsia="Georgia"/>
          <w:b/>
          <w:i w:val="0"/>
          <w:sz w:val="24"/>
        </w:rPr>
        <w:t>VM18  ·  267 words  ·  0 hedges  ·  0.0 per 100 words</w:t>
      </w:r>
    </w:p>
    <w:p>
      <w:pPr>
        <w:spacing w:line="480" w:lineRule="auto" w:before="0" w:after="240"/>
        <w:jc w:val="both"/>
      </w:pPr>
      <w:r>
        <w:rPr>
          <w:rFonts w:ascii="Georgia" w:hAnsi="Georgia" w:eastAsia="Georgia"/>
          <w:b w:val="0"/>
          <w:i w:val="0"/>
          <w:color w:val="000000"/>
          <w:sz w:val="22"/>
        </w:rPr>
        <w:t xml:space="preserve">Zoonotic diseases are a significant public health concern, particularly those that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Mabalacat City, Pampanga,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hAnsi="Georgia" w:eastAsia="Georgia"/>
          <w:b/>
          <w:strike w:val="0"/>
          <w:color w:val="000000"/>
          <w:sz w:val="22"/>
          <w:shd w:val="clear" w:color="auto" w:fill="BFBFBF"/>
        </w:rPr>
        <w:t>Participants exhibited an overall moderate level of awareness (mean=3.30) on canine zoonotic diseases</w:t>
      </w:r>
      <w:r>
        <w:rPr>
          <w:rFonts w:ascii="Georgia" w:hAnsi="Georgia" w:eastAsia="Georgia"/>
          <w:b/>
          <w:i w:val="0"/>
          <w:color w:val="000000"/>
          <w:sz w:val="20"/>
        </w:rPr>
        <w:t xml:space="preserve"> [R]</w:t>
      </w:r>
      <w:r>
        <w:rPr>
          <w:rFonts w:ascii="Georgia" w:hAnsi="Georgia" w:eastAsia="Georgia"/>
          <w:b w:val="0"/>
          <w:i w:val="0"/>
          <w:color w:val="000000"/>
          <w:sz w:val="22"/>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hAnsi="Georgia" w:eastAsia="Georgia"/>
          <w:b/>
          <w:strike w:val="0"/>
          <w:color w:val="000000"/>
          <w:sz w:val="22"/>
          <w:shd w:val="clear" w:color="auto" w:fill="BFBFBF"/>
        </w:rPr>
        <w:t>significant associations (p&lt;0.05) were found between awareness on zoonotic diseases and sociodemographic factors</w:t>
      </w:r>
      <w:r>
        <w:rPr>
          <w:rFonts w:ascii="Georgia" w:hAnsi="Georgia" w:eastAsia="Georgia"/>
          <w:b/>
          <w:i w:val="0"/>
          <w:color w:val="000000"/>
          <w:sz w:val="20"/>
        </w:rPr>
        <w:t xml:space="preserve"> [R]</w:t>
      </w:r>
      <w:r>
        <w:rPr>
          <w:rFonts w:ascii="Georgia" w:hAnsi="Georgia" w:eastAsia="Georgia"/>
          <w:b w:val="0"/>
          <w:i w:val="0"/>
          <w:color w:val="000000"/>
          <w:sz w:val="22"/>
        </w:rPr>
        <w:t>, such as educational attainment (p-value=0.000), monthly income (p-value=0.007), and years of dog ownership (p-value=0.001).</w:t>
      </w:r>
    </w:p>
    <w:p>
      <w:pPr>
        <w:spacing w:before="360" w:after="120" w:line="480" w:lineRule="auto"/>
        <w:jc w:val="left"/>
      </w:pPr>
      <w:r>
        <w:rPr>
          <w:rFonts w:ascii="Georgia" w:hAnsi="Georgia" w:eastAsia="Georgia"/>
          <w:b/>
          <w:i w:val="0"/>
          <w:sz w:val="24"/>
        </w:rPr>
        <w:t>VM19  ·  172 words  ·  0 hedges  ·  0.0 per 100 words</w:t>
      </w:r>
    </w:p>
    <w:p>
      <w:pPr>
        <w:spacing w:line="480" w:lineRule="auto" w:before="0" w:after="240"/>
        <w:jc w:val="both"/>
      </w:pPr>
      <w:r>
        <w:rPr>
          <w:rFonts w:ascii="Georgia" w:hAnsi="Georgia" w:eastAsia="Georgia"/>
          <w:b w:val="0"/>
          <w:i w:val="0"/>
          <w:color w:val="000000"/>
          <w:sz w:val="22"/>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Pampang Public Market, Angeles City.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pPr>
        <w:spacing w:before="360" w:after="120" w:line="480" w:lineRule="auto"/>
        <w:jc w:val="left"/>
      </w:pPr>
      <w:r>
        <w:rPr>
          <w:rFonts w:ascii="Georgia" w:hAnsi="Georgia" w:eastAsia="Georgia"/>
          <w:b/>
          <w:i w:val="0"/>
          <w:sz w:val="24"/>
        </w:rPr>
        <w:t>VM20  ·  271 words  ·  0 hedges  ·  0.0 per 100 words</w:t>
      </w:r>
    </w:p>
    <w:p>
      <w:pPr>
        <w:spacing w:line="480" w:lineRule="auto" w:before="0" w:after="240"/>
        <w:jc w:val="both"/>
      </w:pPr>
      <w:r>
        <w:rPr>
          <w:rFonts w:ascii="Georgia" w:hAnsi="Georgia" w:eastAsia="Georgia"/>
          <w:b w:val="0"/>
          <w:i w:val="0"/>
          <w:color w:val="000000"/>
          <w:sz w:val="22"/>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hAnsi="Georgia" w:eastAsia="Georgia"/>
          <w:b/>
          <w:strike w:val="0"/>
          <w:color w:val="000000"/>
          <w:sz w:val="22"/>
          <w:shd w:val="clear" w:color="auto" w:fill="BFBFBF"/>
        </w:rPr>
        <w:t>The results indicated that most respondents demonstrated high knowledge about rabies (69.3%), particularly regarding transmission and prevention</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hAnsi="Georgia" w:eastAsia="Georgia"/>
          <w:b/>
          <w:strike w:val="0"/>
          <w:color w:val="000000"/>
          <w:sz w:val="22"/>
          <w:shd w:val="clear" w:color="auto" w:fill="BFBFBF"/>
        </w:rPr>
        <w:t>Multiple linear regression analysis confirmed interrelationships among KAP dimensions, revealing that higher knowledge scores significantly predicted better preventive behaviors</w:t>
      </w:r>
      <w:r>
        <w:rPr>
          <w:rFonts w:ascii="Georgia" w:hAnsi="Georgia" w:eastAsia="Georgia"/>
          <w:b/>
          <w:i w:val="0"/>
          <w:color w:val="000000"/>
          <w:sz w:val="20"/>
        </w:rPr>
        <w:t xml:space="preserve"> [R]</w:t>
      </w:r>
      <w:r>
        <w:rPr>
          <w:rFonts w:ascii="Georgia" w:hAnsi="Georgia" w:eastAsia="Georgia"/>
          <w:b w:val="0"/>
          <w:i w:val="0"/>
          <w:color w:val="000000"/>
          <w:sz w:val="22"/>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mitigate rabies transmission risks. These insights align with broader efforts toward rabies elimination in the Philippines by 2030, emphasizing the importance of addressing localized KAP gaps through evidence-based interventions.</w:t>
      </w:r>
    </w:p>
    <w:p>
      <w:pPr>
        <w:spacing w:before="480" w:after="240" w:line="480" w:lineRule="auto"/>
        <w:jc w:val="center"/>
      </w:pPr>
      <w:r>
        <w:rPr>
          <w:rFonts w:ascii="Georgia" w:hAnsi="Georgia" w:eastAsia="Georgia"/>
          <w:b/>
          <w:i w:val="0"/>
          <w:sz w:val="24"/>
        </w:rPr>
        <w:t>Agriculture, Crop Science (Acs1–Acs10)</w:t>
      </w:r>
    </w:p>
    <w:p>
      <w:pPr>
        <w:spacing w:before="360" w:after="120" w:line="480" w:lineRule="auto"/>
        <w:jc w:val="left"/>
      </w:pPr>
      <w:r>
        <w:rPr>
          <w:rFonts w:ascii="Georgia" w:hAnsi="Georgia" w:eastAsia="Georgia"/>
          <w:b/>
          <w:i w:val="0"/>
          <w:sz w:val="24"/>
        </w:rPr>
        <w:t>Acs1  ·  203 words  ·  1 hedges  ·  0.49 per 100 words</w:t>
      </w:r>
    </w:p>
    <w:p>
      <w:pPr>
        <w:spacing w:line="480" w:lineRule="auto" w:before="0" w:after="240"/>
        <w:jc w:val="both"/>
      </w:pPr>
      <w:r>
        <w:rPr>
          <w:rFonts w:ascii="Georgia" w:hAnsi="Georgia" w:eastAsia="Georgia"/>
          <w:b w:val="0"/>
          <w:i w:val="0"/>
          <w:color w:val="000000"/>
          <w:sz w:val="22"/>
        </w:rPr>
        <w:t xml:space="preserve">This experimental study examined the performance of finger pepper (Capsicum frutescens) treated with fermented banana peel as an organic amendment. The research was conducted in Barangay Bucanan, Magalang, Pampanga,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fermented banana peel, when applied at an optimal rate in combination with reduced synthetic fertilizer input,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significantly enhance the growth and yield performance of finger pepper, offering a sustainable alternative for crop production.</w:t>
      </w:r>
    </w:p>
    <w:p>
      <w:pPr>
        <w:spacing w:before="360" w:after="120" w:line="480" w:lineRule="auto"/>
        <w:jc w:val="left"/>
      </w:pPr>
      <w:r>
        <w:rPr>
          <w:rFonts w:ascii="Georgia" w:hAnsi="Georgia" w:eastAsia="Georgia"/>
          <w:b/>
          <w:i w:val="0"/>
          <w:sz w:val="24"/>
        </w:rPr>
        <w:t>Acs2  ·  184 words  ·  8 hedges  ·  4.35 per 100 words</w:t>
      </w:r>
    </w:p>
    <w:p>
      <w:pPr>
        <w:spacing w:line="480" w:lineRule="auto" w:before="0" w:after="240"/>
        <w:jc w:val="both"/>
      </w:pPr>
      <w:r>
        <w:rPr>
          <w:rFonts w:ascii="Georgia" w:hAnsi="Georgia" w:eastAsia="Georgia"/>
          <w:b w:val="0"/>
          <w:i w:val="0"/>
          <w:color w:val="000000"/>
          <w:sz w:val="22"/>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while statistical significance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not have been observed, the mycorrhiza treatment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still offer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while the differences </w:t>
      </w:r>
      <w:r>
        <w:rPr>
          <w:rFonts w:ascii="Georgia" w:hAnsi="Georgia" w:eastAsia="Georgia"/>
          <w:b/>
          <w:strike w:val="0"/>
          <w:color w:val="000000"/>
          <w:sz w:val="22"/>
          <w:shd w:val="clear" w:color="auto" w:fill="00B0F0"/>
        </w:rPr>
        <w:t>might</w:t>
      </w:r>
      <w:r>
        <w:rPr>
          <w:rFonts w:ascii="Georgia" w:hAnsi="Georgia" w:eastAsia="Georgia"/>
          <w:b/>
          <w:i w:val="0"/>
          <w:color w:val="ED7D31"/>
          <w:sz w:val="20"/>
        </w:rPr>
        <w:t xml:space="preserve"> (EC)</w:t>
      </w:r>
      <w:r>
        <w:rPr>
          <w:rFonts w:ascii="Georgia" w:hAnsi="Georgia" w:eastAsia="Georgia"/>
          <w:b w:val="0"/>
          <w:i w:val="0"/>
          <w:color w:val="000000"/>
          <w:sz w:val="22"/>
        </w:rPr>
        <w:t xml:space="preserve"> not have been significant in the study, the researchers believe that mycorrhiza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provide beneficial effects in practical agricultural contexts. The study concluded that the application of mycorrhiza positive impact on mung beans during drought and root development highlights its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benefits for plant growth. Further research </w:t>
      </w:r>
      <w:r>
        <w:rPr>
          <w:rFonts w:ascii="Georgia" w:hAnsi="Georgia"/>
          <w:b/>
          <w:strike/>
          <w:color w:val="000000"/>
          <w:sz w:val="22"/>
        </w:rPr>
        <w:t>could</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unveil additional insights and applications for optimizing plant health.</w:t>
      </w:r>
    </w:p>
    <w:p>
      <w:pPr>
        <w:spacing w:before="360" w:after="120" w:line="480" w:lineRule="auto"/>
        <w:jc w:val="left"/>
      </w:pPr>
      <w:r>
        <w:rPr>
          <w:rFonts w:ascii="Georgia" w:hAnsi="Georgia" w:eastAsia="Georgia"/>
          <w:b/>
          <w:i w:val="0"/>
          <w:sz w:val="24"/>
        </w:rPr>
        <w:t>Acs3  ·  235 words  ·  2 hedges  ·  0.85 per 100 words</w:t>
      </w:r>
    </w:p>
    <w:p>
      <w:pPr>
        <w:spacing w:line="480" w:lineRule="auto" w:before="0" w:after="240"/>
        <w:jc w:val="both"/>
      </w:pPr>
      <w:r>
        <w:rPr>
          <w:rFonts w:ascii="Georgia" w:hAnsi="Georgia" w:eastAsia="Georgia"/>
          <w:b w:val="0"/>
          <w:i w:val="0"/>
          <w:color w:val="000000"/>
          <w:sz w:val="22"/>
        </w:rPr>
        <w:t xml:space="preserve">The study was conducted at Barangay Pandacaqui, Mexico, Pampanga,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survive the water treatment application but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not establish roots and die after several days. However,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derived that the application of different alternative rooting hormones has a comparable effect with synthetic rooting hormones based on the growth parameters.</w:t>
      </w:r>
    </w:p>
    <w:p>
      <w:pPr>
        <w:spacing w:before="360" w:after="120" w:line="480" w:lineRule="auto"/>
        <w:jc w:val="left"/>
      </w:pPr>
      <w:r>
        <w:rPr>
          <w:rFonts w:ascii="Georgia" w:hAnsi="Georgia" w:eastAsia="Georgia"/>
          <w:b/>
          <w:i w:val="0"/>
          <w:sz w:val="24"/>
        </w:rPr>
        <w:t>Acs4  ·  221 words  ·  0 hedges  ·  0.0 per 100 words</w:t>
      </w:r>
    </w:p>
    <w:p>
      <w:pPr>
        <w:spacing w:line="480" w:lineRule="auto" w:before="0" w:after="240"/>
        <w:jc w:val="both"/>
      </w:pPr>
      <w:r>
        <w:rPr>
          <w:rFonts w:ascii="Georgia" w:hAnsi="Georgia" w:eastAsia="Georgia"/>
          <w:b w:val="0"/>
          <w:i w:val="0"/>
          <w:color w:val="000000"/>
          <w:sz w:val="22"/>
        </w:rPr>
        <w:t xml:space="preserve">The study was conducted to determine the growth and yield performance of sweet potatoes treated with seaweed extract foliar spray from December 2023 to February 2024 in Telapayong, Arayat, Pampanga.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reduce production cost and provide the highest return on investment.</w:t>
      </w:r>
    </w:p>
    <w:p>
      <w:pPr>
        <w:spacing w:before="360" w:after="120" w:line="480" w:lineRule="auto"/>
        <w:jc w:val="left"/>
      </w:pPr>
      <w:r>
        <w:rPr>
          <w:rFonts w:ascii="Georgia" w:hAnsi="Georgia" w:eastAsia="Georgia"/>
          <w:b/>
          <w:i w:val="0"/>
          <w:sz w:val="24"/>
        </w:rPr>
        <w:t>Acs5  ·  199 words  ·  2 hedges  ·  1.01 per 100 words</w:t>
      </w:r>
    </w:p>
    <w:p>
      <w:pPr>
        <w:spacing w:line="480" w:lineRule="auto" w:before="0" w:after="240"/>
        <w:jc w:val="both"/>
      </w:pPr>
      <w:r>
        <w:rPr>
          <w:rFonts w:ascii="Georgia" w:hAnsi="Georgia" w:eastAsia="Georgia"/>
          <w:b w:val="0"/>
          <w:i w:val="0"/>
          <w:color w:val="000000"/>
          <w:sz w:val="22"/>
        </w:rPr>
        <w:t xml:space="preserve">The study on the frequency of fermented azolla application on the growth and yield of onion was conducted at Barangay San Agustin, Magalang, Pampanga,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Trichoderma and fermented azolla at proper application frequencies </w:t>
      </w:r>
      <w:r>
        <w:rPr>
          <w:rFonts w:ascii="Georgia" w:hAnsi="Georgia" w:eastAsia="Georgia"/>
          <w:b/>
          <w:strike w:val="0"/>
          <w:color w:val="000000"/>
          <w:sz w:val="22"/>
          <w:shd w:val="clear" w:color="auto" w:fill="00B0F0"/>
        </w:rPr>
        <w:t>could</w:t>
      </w:r>
      <w:r>
        <w:rPr>
          <w:rFonts w:ascii="Georgia" w:hAnsi="Georgia" w:eastAsia="Georgia"/>
          <w:b/>
          <w:i w:val="0"/>
          <w:color w:val="ED7D31"/>
          <w:sz w:val="20"/>
        </w:rPr>
        <w:t xml:space="preserve"> (EC)</w:t>
      </w:r>
      <w:r>
        <w:rPr>
          <w:rFonts w:ascii="Georgia" w:hAnsi="Georgia" w:eastAsia="Georgia"/>
          <w:b w:val="0"/>
          <w:i w:val="0"/>
          <w:color w:val="000000"/>
          <w:sz w:val="22"/>
        </w:rPr>
        <w:t xml:space="preserve"> be beneficial in enhancing cultivation, promoting both plant growth and economic returns.</w:t>
      </w:r>
    </w:p>
    <w:p>
      <w:pPr>
        <w:spacing w:before="360" w:after="120" w:line="480" w:lineRule="auto"/>
        <w:jc w:val="left"/>
      </w:pPr>
      <w:r>
        <w:rPr>
          <w:rFonts w:ascii="Georgia" w:hAnsi="Georgia" w:eastAsia="Georgia"/>
          <w:b/>
          <w:i w:val="0"/>
          <w:sz w:val="24"/>
        </w:rPr>
        <w:t>Acs6  ·  245 words  ·  1 hedges  ·  0.41 per 100 words</w:t>
      </w:r>
    </w:p>
    <w:p>
      <w:pPr>
        <w:spacing w:line="480" w:lineRule="auto" w:before="0" w:after="240"/>
        <w:jc w:val="both"/>
      </w:pPr>
      <w:r>
        <w:rPr>
          <w:rFonts w:ascii="Georgia" w:hAnsi="Georgia" w:eastAsia="Georgia"/>
          <w:b w:val="0"/>
          <w:i w:val="0"/>
          <w:color w:val="000000"/>
          <w:sz w:val="22"/>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effective, low-cost, and sustainable soil amendments for ornamental and horticultural cultivation, offering practical options for growers seeking eco-friendly methods to improve plant performance.</w:t>
      </w:r>
    </w:p>
    <w:p>
      <w:pPr>
        <w:spacing w:before="360" w:after="120" w:line="480" w:lineRule="auto"/>
        <w:jc w:val="left"/>
      </w:pPr>
      <w:r>
        <w:rPr>
          <w:rFonts w:ascii="Georgia" w:hAnsi="Georgia" w:eastAsia="Georgia"/>
          <w:b/>
          <w:i w:val="0"/>
          <w:sz w:val="24"/>
        </w:rPr>
        <w:t>Acs7  ·  207 words  ·  1 hedges  ·  0.48 per 100 words</w:t>
      </w:r>
    </w:p>
    <w:p>
      <w:pPr>
        <w:spacing w:line="480" w:lineRule="auto" w:before="0" w:after="240"/>
        <w:jc w:val="both"/>
      </w:pPr>
      <w:r>
        <w:rPr>
          <w:rFonts w:ascii="Georgia" w:hAnsi="Georgia" w:eastAsia="Georgia"/>
          <w:b w:val="0"/>
          <w:i w:val="0"/>
          <w:color w:val="000000"/>
          <w:sz w:val="22"/>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attributed to the nutrient-rich content of GB 1000+ FF, which enhances soil conditions and facilitates better nutrient availability. In GB 1000+ FF contributed to vigorous vegetative growth and ultimately led to taller eggplant plants.</w:t>
      </w:r>
    </w:p>
    <w:p>
      <w:pPr>
        <w:spacing w:before="360" w:after="120" w:line="480" w:lineRule="auto"/>
        <w:jc w:val="left"/>
      </w:pPr>
      <w:r>
        <w:rPr>
          <w:rFonts w:ascii="Georgia" w:hAnsi="Georgia" w:eastAsia="Georgia"/>
          <w:b/>
          <w:i w:val="0"/>
          <w:sz w:val="24"/>
        </w:rPr>
        <w:t>Acs8  ·  164 words  ·  0 hedges  ·  0.0 per 100 words</w:t>
      </w:r>
    </w:p>
    <w:p>
      <w:pPr>
        <w:spacing w:line="480" w:lineRule="auto" w:before="0" w:after="240"/>
        <w:jc w:val="both"/>
      </w:pPr>
      <w:r>
        <w:rPr>
          <w:rFonts w:ascii="Georgia" w:hAnsi="Georgia" w:eastAsia="Georgia"/>
          <w:b w:val="0"/>
          <w:i w:val="0"/>
          <w:color w:val="000000"/>
          <w:sz w:val="22"/>
        </w:rPr>
        <w:t xml:space="preserve">The study on the performance of eggplant applied with different methods of Kuhol Amino Acid Application was conducted at Lapaz , Magalang Pampanga,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hAnsi="Georgia" w:eastAsia="Georgia"/>
          <w:b/>
          <w:strike w:val="0"/>
          <w:color w:val="000000"/>
          <w:sz w:val="22"/>
          <w:shd w:val="clear" w:color="auto" w:fill="BFBFBF"/>
        </w:rPr>
        <w:t>there was no significant difference among the different methods of kuhol amino acid app in terms of plant height</w:t>
      </w:r>
      <w:r>
        <w:rPr>
          <w:rFonts w:ascii="Georgia" w:hAnsi="Georgia" w:eastAsia="Georgia"/>
          <w:b/>
          <w:i w:val="0"/>
          <w:color w:val="000000"/>
          <w:sz w:val="20"/>
        </w:rPr>
        <w:t xml:space="preserve"> [R]</w:t>
      </w:r>
      <w:r>
        <w:rPr>
          <w:rFonts w:ascii="Georgia" w:hAnsi="Georgia" w:eastAsia="Georgia"/>
          <w:b w:val="0"/>
          <w:i w:val="0"/>
          <w:color w:val="000000"/>
          <w:sz w:val="22"/>
        </w:rPr>
        <w:t xml:space="preserve">, weight of marketable and weight of non-marketable fruit, number of marketable and non-marketable fruits, and computed yield. </w:t>
      </w:r>
      <w:r>
        <w:rPr>
          <w:rFonts w:ascii="Georgia" w:hAnsi="Georgia" w:eastAsia="Georgia"/>
          <w:b/>
          <w:strike w:val="0"/>
          <w:color w:val="000000"/>
          <w:sz w:val="22"/>
          <w:shd w:val="clear" w:color="auto" w:fill="BFBFBF"/>
        </w:rPr>
        <w:t>Different methods of kuhol amino acid application influenced the plant height, weight of fruits, number of marketable and non-marketable fruits, and computed yield</w:t>
      </w:r>
      <w:r>
        <w:rPr>
          <w:rFonts w:ascii="Georgia" w:hAnsi="Georgia" w:eastAsia="Georgia"/>
          <w:b/>
          <w:i w:val="0"/>
          <w:color w:val="000000"/>
          <w:sz w:val="20"/>
        </w:rPr>
        <w:t xml:space="preserve"> [G]</w:t>
      </w:r>
      <w:r>
        <w:rPr>
          <w:rFonts w:ascii="Georgia" w:hAnsi="Georgia" w:eastAsia="Georgia"/>
          <w:b w:val="0"/>
          <w:i w:val="0"/>
          <w:color w:val="000000"/>
          <w:sz w:val="22"/>
        </w:rPr>
        <w:t xml:space="preserve">. The researcher </w:t>
      </w:r>
      <w:r>
        <w:rPr>
          <w:rFonts w:ascii="Georgia" w:hAnsi="Georgia"/>
          <w:b/>
          <w:strike/>
          <w:color w:val="000000"/>
          <w:sz w:val="22"/>
        </w:rPr>
        <w:t>recommends</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foliar and drenching application of kuhol amino acid. because, numerically, it consistently produced the highest yield performance.</w:t>
      </w:r>
    </w:p>
    <w:p>
      <w:pPr>
        <w:spacing w:before="360" w:after="120" w:line="480" w:lineRule="auto"/>
        <w:jc w:val="left"/>
      </w:pPr>
      <w:r>
        <w:rPr>
          <w:rFonts w:ascii="Georgia" w:hAnsi="Georgia" w:eastAsia="Georgia"/>
          <w:b/>
          <w:i w:val="0"/>
          <w:sz w:val="24"/>
        </w:rPr>
        <w:t>Acs9  ·  170 words  ·  2 hedges  ·  1.18 per 100 words</w:t>
      </w:r>
    </w:p>
    <w:p>
      <w:pPr>
        <w:spacing w:line="480" w:lineRule="auto" w:before="0" w:after="240"/>
        <w:jc w:val="both"/>
      </w:pPr>
      <w:r>
        <w:rPr>
          <w:rFonts w:ascii="Georgia" w:hAnsi="Georgia" w:eastAsia="Georgia"/>
          <w:b w:val="0"/>
          <w:i w:val="0"/>
          <w:color w:val="000000"/>
          <w:sz w:val="22"/>
        </w:rPr>
        <w:t xml:space="preserve">A field experiment was conducted from December 2024 to January 2025 in Mitla Proper, Porac, Pampanga,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eastAsia="Georgia"/>
          <w:b/>
          <w:strike w:val="0"/>
          <w:color w:val="FFFFFF"/>
          <w:sz w:val="22"/>
          <w:shd w:val="clear" w:color="auto" w:fill="FF0000"/>
        </w:rPr>
        <w:t>suggest</w:t>
      </w:r>
      <w:r>
        <w:rPr>
          <w:rFonts w:ascii="Georgia" w:hAnsi="Georgia" w:eastAsia="Georgia"/>
          <w:b/>
          <w:i w:val="0"/>
          <w:color w:val="ED7D31"/>
          <w:sz w:val="20"/>
        </w:rPr>
        <w:t xml:space="preserve"> (EC)</w:t>
      </w:r>
      <w:r>
        <w:rPr>
          <w:rFonts w:ascii="Georgia" w:hAnsi="Georgia" w:eastAsia="Georgia"/>
          <w:b w:val="0"/>
          <w:i w:val="0"/>
          <w:color w:val="000000"/>
          <w:sz w:val="22"/>
        </w:rPr>
        <w:t xml:space="preserve"> that soaking sugarcane setts in Azospirillum spp. biofertilizer for 24 hours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effectively promote early growth by enhancing root development and biomass accumulation, thereby supporting improved propagation success.</w:t>
      </w:r>
    </w:p>
    <w:p>
      <w:pPr>
        <w:spacing w:before="360" w:after="120" w:line="480" w:lineRule="auto"/>
        <w:jc w:val="left"/>
      </w:pPr>
      <w:r>
        <w:rPr>
          <w:rFonts w:ascii="Georgia" w:hAnsi="Georgia" w:eastAsia="Georgia"/>
          <w:b/>
          <w:i w:val="0"/>
          <w:sz w:val="24"/>
        </w:rPr>
        <w:t>Acs10  ·  246 words  ·  0 hedges  ·  0.0 per 100 words</w:t>
      </w:r>
    </w:p>
    <w:p>
      <w:pPr>
        <w:spacing w:line="480" w:lineRule="auto" w:before="0" w:after="240"/>
        <w:jc w:val="both"/>
      </w:pPr>
      <w:r>
        <w:rPr>
          <w:rFonts w:ascii="Georgia" w:hAnsi="Georgia" w:eastAsia="Georgia"/>
          <w:b w:val="0"/>
          <w:i w:val="0"/>
          <w:color w:val="000000"/>
          <w:sz w:val="22"/>
        </w:rPr>
        <w:t xml:space="preserve">The field study was conducted from January 2023 to April 2023 at Parulung, Concepcion, and Tarlac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hAnsi="Georgia" w:eastAsia="Georgia"/>
          <w:b/>
          <w:strike w:val="0"/>
          <w:color w:val="000000"/>
          <w:sz w:val="22"/>
          <w:shd w:val="clear" w:color="auto" w:fill="BFBFBF"/>
        </w:rPr>
        <w:t>a significant difference was observed in the number of productive tillers, actual yield per sample area, and computed yield per ton/ha</w:t>
      </w:r>
      <w:r>
        <w:rPr>
          <w:rFonts w:ascii="Georgia" w:hAnsi="Georgia" w:eastAsia="Georgia"/>
          <w:b/>
          <w:i w:val="0"/>
          <w:color w:val="000000"/>
          <w:sz w:val="20"/>
        </w:rPr>
        <w:t xml:space="preserve"> [R]</w:t>
      </w:r>
      <w:r>
        <w:rPr>
          <w:rFonts w:ascii="Georgia" w:hAnsi="Georgia" w:eastAsia="Georgia"/>
          <w:b w:val="0"/>
          <w:i w:val="0"/>
          <w:color w:val="000000"/>
          <w:sz w:val="22"/>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hAnsi="Georgia" w:eastAsia="Georgia"/>
          <w:b/>
          <w:strike w:val="0"/>
          <w:color w:val="000000"/>
          <w:sz w:val="22"/>
          <w:shd w:val="clear" w:color="auto" w:fill="BFBFBF"/>
        </w:rPr>
        <w:t>T3: NPK+14-14-14 was the most compelling treatment among all treatments in terms of producing the highest number of productive tillers and obtaining the heaviest yield per ton/ha</w:t>
      </w:r>
      <w:r>
        <w:rPr>
          <w:rFonts w:ascii="Georgia" w:hAnsi="Georgia" w:eastAsia="Georgia"/>
          <w:b/>
          <w:i w:val="0"/>
          <w:color w:val="000000"/>
          <w:sz w:val="20"/>
        </w:rPr>
        <w:t xml:space="preserve"> [G]</w:t>
      </w:r>
      <w:r>
        <w:rPr>
          <w:rFonts w:ascii="Georgia" w:hAnsi="Georgia" w:eastAsia="Georgia"/>
          <w:b w:val="0"/>
          <w:i w:val="0"/>
          <w:color w:val="000000"/>
          <w:sz w:val="22"/>
        </w:rPr>
        <w:t>.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pPr>
        <w:spacing w:before="480" w:after="240" w:line="480" w:lineRule="auto"/>
        <w:jc w:val="center"/>
      </w:pPr>
      <w:r>
        <w:rPr>
          <w:rFonts w:ascii="Georgia" w:hAnsi="Georgia" w:eastAsia="Georgia"/>
          <w:b/>
          <w:i w:val="0"/>
          <w:sz w:val="24"/>
        </w:rPr>
        <w:t>Agriculture, Animal Science (Aas1–Aas10)</w:t>
      </w:r>
    </w:p>
    <w:p>
      <w:pPr>
        <w:spacing w:before="360" w:after="120" w:line="480" w:lineRule="auto"/>
        <w:jc w:val="left"/>
      </w:pPr>
      <w:r>
        <w:rPr>
          <w:rFonts w:ascii="Georgia" w:hAnsi="Georgia" w:eastAsia="Georgia"/>
          <w:b/>
          <w:i w:val="0"/>
          <w:sz w:val="24"/>
        </w:rPr>
        <w:t>Aas1  ·  203 words  ·  0 hedges  ·  0.0 per 100 words</w:t>
      </w:r>
    </w:p>
    <w:p>
      <w:pPr>
        <w:spacing w:line="480" w:lineRule="auto" w:before="0" w:after="240"/>
        <w:jc w:val="both"/>
      </w:pPr>
      <w:r>
        <w:rPr>
          <w:rFonts w:ascii="Georgia" w:hAnsi="Georgia" w:eastAsia="Georgia"/>
          <w:b w:val="0"/>
          <w:i w:val="0"/>
          <w:color w:val="000000"/>
          <w:sz w:val="22"/>
        </w:rPr>
        <w:t xml:space="preserve">The field was conducted for 35 days from April 6, to May 10, 2023 in Sitio. Mapaco, Talimundoc Marimla Concepcion, and Tarlac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hAnsi="Georgia" w:eastAsia="Georgia"/>
          <w:b/>
          <w:strike w:val="0"/>
          <w:color w:val="000000"/>
          <w:sz w:val="22"/>
          <w:shd w:val="clear" w:color="auto" w:fill="BFBFBF"/>
        </w:rPr>
        <w:t>No significant differences were observed in terms of mean initial weight (kg), mean final weight (kg)</w:t>
      </w:r>
      <w:r>
        <w:rPr>
          <w:rFonts w:ascii="Georgia" w:hAnsi="Georgia" w:eastAsia="Georgia"/>
          <w:b/>
          <w:i w:val="0"/>
          <w:color w:val="000000"/>
          <w:sz w:val="20"/>
        </w:rPr>
        <w:t xml:space="preserve"> [R]</w:t>
      </w:r>
      <w:r>
        <w:rPr>
          <w:rFonts w:ascii="Georgia" w:hAnsi="Georgia" w:eastAsia="Georgia"/>
          <w:b w:val="0"/>
          <w:i w:val="0"/>
          <w:color w:val="000000"/>
          <w:sz w:val="22"/>
        </w:rPr>
        <w:t xml:space="preserve">, mean gain in weight (kg), mean DM intake (kg), or feed conversion ratio. </w:t>
      </w:r>
      <w:r>
        <w:rPr>
          <w:rFonts w:ascii="Georgia" w:hAnsi="Georgia" w:eastAsia="Georgia"/>
          <w:b/>
          <w:strike w:val="0"/>
          <w:color w:val="000000"/>
          <w:sz w:val="22"/>
          <w:shd w:val="clear" w:color="auto" w:fill="BFBFBF"/>
        </w:rPr>
        <w:t>The student researcher concluded that T2 (20% GA Leaves + 40% Paragrass + 40% Concentrate Feeds) was the most compelling treatment among all treatments for the rabbits in terms of outperforming the data numerically</w:t>
      </w:r>
      <w:r>
        <w:rPr>
          <w:rFonts w:ascii="Georgia" w:hAnsi="Georgia" w:eastAsia="Georgia"/>
          <w:b/>
          <w:i w:val="0"/>
          <w:color w:val="000000"/>
          <w:sz w:val="20"/>
        </w:rPr>
        <w:t xml:space="preserve"> [G]</w:t>
      </w:r>
      <w:r>
        <w:rPr>
          <w:rFonts w:ascii="Georgia" w:hAnsi="Georgia" w:eastAsia="Georgia"/>
          <w:b w:val="0"/>
          <w:i w:val="0"/>
          <w:color w:val="000000"/>
          <w:sz w:val="22"/>
        </w:rPr>
        <w:t>. The 20% Gmelina arborea + 40% Para grass + 40% Concentrate Feeds greatly contributed to performances in terms of obtaining the highest mean final weight, mean gain in weight, and highest net income.</w:t>
      </w:r>
    </w:p>
    <w:p>
      <w:pPr>
        <w:spacing w:before="360" w:after="120" w:line="480" w:lineRule="auto"/>
        <w:jc w:val="left"/>
      </w:pPr>
      <w:r>
        <w:rPr>
          <w:rFonts w:ascii="Georgia" w:hAnsi="Georgia" w:eastAsia="Georgia"/>
          <w:b/>
          <w:i w:val="0"/>
          <w:sz w:val="24"/>
        </w:rPr>
        <w:t>Aas2  ·  182 words  ·  0 hedges  ·  0.0 per 100 words</w:t>
      </w:r>
    </w:p>
    <w:p>
      <w:pPr>
        <w:spacing w:line="480" w:lineRule="auto" w:before="0" w:after="240"/>
        <w:jc w:val="both"/>
      </w:pPr>
      <w:r>
        <w:rPr>
          <w:rFonts w:ascii="Georgia" w:hAnsi="Georgia" w:eastAsia="Georgia"/>
          <w:b w:val="0"/>
          <w:i w:val="0"/>
          <w:color w:val="000000"/>
          <w:sz w:val="22"/>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hAnsi="Georgia" w:eastAsia="Georgia"/>
          <w:b/>
          <w:strike w:val="0"/>
          <w:color w:val="000000"/>
          <w:sz w:val="22"/>
          <w:shd w:val="clear" w:color="auto" w:fill="BFBFBF"/>
        </w:rPr>
        <w:t>the fermented okara extract had the biggest impact, resulting in the heaviest weight</w:t>
      </w:r>
      <w:r>
        <w:rPr>
          <w:rFonts w:ascii="Georgia" w:hAnsi="Georgia" w:eastAsia="Georgia"/>
          <w:b/>
          <w:i w:val="0"/>
          <w:color w:val="000000"/>
          <w:sz w:val="20"/>
        </w:rPr>
        <w:t xml:space="preserve"> [C]</w:t>
      </w:r>
      <w:r>
        <w:rPr>
          <w:rFonts w:ascii="Georgia" w:hAnsi="Georgia" w:eastAsia="Georgia"/>
          <w:b w:val="0"/>
          <w:i w:val="0"/>
          <w:color w:val="000000"/>
          <w:sz w:val="22"/>
        </w:rPr>
        <w:t xml:space="preserve">. Additionally, </w:t>
      </w:r>
      <w:r>
        <w:rPr>
          <w:rFonts w:ascii="Georgia" w:hAnsi="Georgia" w:eastAsia="Georgia"/>
          <w:b/>
          <w:strike w:val="0"/>
          <w:color w:val="000000"/>
          <w:sz w:val="22"/>
          <w:shd w:val="clear" w:color="auto" w:fill="BFBFBF"/>
        </w:rPr>
        <w:t>the total return result showed a promising future for fermented okara extract at a level of 60 ml (166.00 PHP)</w:t>
      </w:r>
      <w:r>
        <w:rPr>
          <w:rFonts w:ascii="Georgia" w:hAnsi="Georgia" w:eastAsia="Georgia"/>
          <w:b/>
          <w:i w:val="0"/>
          <w:color w:val="000000"/>
          <w:sz w:val="20"/>
        </w:rPr>
        <w:t xml:space="preserve"> [G]</w:t>
      </w:r>
      <w:r>
        <w:rPr>
          <w:rFonts w:ascii="Georgia" w:hAnsi="Georgia" w:eastAsia="Georgia"/>
          <w:b w:val="0"/>
          <w:i w:val="0"/>
          <w:color w:val="000000"/>
          <w:sz w:val="22"/>
        </w:rPr>
        <w:t>.</w:t>
      </w:r>
    </w:p>
    <w:p>
      <w:pPr>
        <w:spacing w:before="360" w:after="120" w:line="480" w:lineRule="auto"/>
        <w:jc w:val="left"/>
      </w:pPr>
      <w:r>
        <w:rPr>
          <w:rFonts w:ascii="Georgia" w:hAnsi="Georgia" w:eastAsia="Georgia"/>
          <w:b/>
          <w:i w:val="0"/>
          <w:sz w:val="24"/>
        </w:rPr>
        <w:t>Aas3  ·  296 words  ·  2 hedges  ·  0.68 per 100 words</w:t>
      </w:r>
    </w:p>
    <w:p>
      <w:pPr>
        <w:spacing w:line="480" w:lineRule="auto" w:before="0" w:after="240"/>
        <w:jc w:val="both"/>
      </w:pPr>
      <w:r>
        <w:rPr>
          <w:rFonts w:ascii="Georgia" w:hAnsi="Georgia" w:eastAsia="Georgia"/>
          <w:b w:val="0"/>
          <w:i w:val="0"/>
          <w:color w:val="000000"/>
          <w:sz w:val="22"/>
        </w:rPr>
        <w:t xml:space="preserve">A sixty three (63) days study was conducted to determine the growth performance of mallard duck fed with dietary mixed ration in Barangay Bucanan, Magalang, Pampanga.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eastAsia="Georgia"/>
          <w:b/>
          <w:strike w:val="0"/>
          <w:color w:val="FFFFFF"/>
          <w:sz w:val="22"/>
          <w:shd w:val="clear" w:color="auto" w:fill="FF0000"/>
        </w:rPr>
        <w:t>implies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also be concluded that D1 rice bran mixed with water spinach and with golden apple snail used in the study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help minimize the cost of production, specifically the feed cost.</w:t>
      </w:r>
    </w:p>
    <w:p>
      <w:pPr>
        <w:spacing w:before="360" w:after="120" w:line="480" w:lineRule="auto"/>
        <w:jc w:val="left"/>
      </w:pPr>
      <w:r>
        <w:rPr>
          <w:rFonts w:ascii="Georgia" w:hAnsi="Georgia" w:eastAsia="Georgia"/>
          <w:b/>
          <w:i w:val="0"/>
          <w:sz w:val="24"/>
        </w:rPr>
        <w:t>Aas4  ·  161 words  ·  1 hedges  ·  0.62 per 100 words</w:t>
      </w:r>
    </w:p>
    <w:p>
      <w:pPr>
        <w:spacing w:line="480" w:lineRule="auto" w:before="0" w:after="240"/>
        <w:jc w:val="both"/>
      </w:pPr>
      <w:r>
        <w:rPr>
          <w:rFonts w:ascii="Georgia" w:hAnsi="Georgia" w:eastAsia="Georgia"/>
          <w:b w:val="0"/>
          <w:i w:val="0"/>
          <w:color w:val="000000"/>
          <w:sz w:val="22"/>
        </w:rPr>
        <w:t xml:space="preserve">The study was conducted for 30 days, from April 26, 2023, to May 25, 2023, at Marbea, Magalang, Pampanga.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eastAsia="Georgia"/>
          <w:b/>
          <w:strike w:val="0"/>
          <w:color w:val="FFFFFF"/>
          <w:sz w:val="22"/>
          <w:shd w:val="clear" w:color="auto" w:fill="FF0000"/>
        </w:rPr>
        <w:t>suggests</w:t>
      </w:r>
      <w:r>
        <w:rPr>
          <w:rFonts w:ascii="Georgia" w:hAnsi="Georgia" w:eastAsia="Georgia"/>
          <w:b/>
          <w:i w:val="0"/>
          <w:color w:val="ED7D31"/>
          <w:sz w:val="20"/>
        </w:rPr>
        <w:t xml:space="preserve"> (EC)</w:t>
      </w:r>
      <w:r>
        <w:rPr>
          <w:rFonts w:ascii="Georgia" w:hAnsi="Georgia" w:eastAsia="Georgia"/>
          <w:b w:val="0"/>
          <w:i w:val="0"/>
          <w:color w:val="000000"/>
          <w:sz w:val="22"/>
        </w:rPr>
        <w:t xml:space="preserve"> that there is no significant difference among the treatments with regard to their initial weight, gain in weight, average daily gain, and feed conversion ratio of the experimental rabbits.</w:t>
      </w:r>
    </w:p>
    <w:p>
      <w:pPr>
        <w:spacing w:before="360" w:after="120" w:line="480" w:lineRule="auto"/>
        <w:jc w:val="left"/>
      </w:pPr>
      <w:r>
        <w:rPr>
          <w:rFonts w:ascii="Georgia" w:hAnsi="Georgia" w:eastAsia="Georgia"/>
          <w:b/>
          <w:i w:val="0"/>
          <w:sz w:val="24"/>
        </w:rPr>
        <w:t>Aas5  ·  316 words  ·  1 hedges  ·  0.32 per 100 words</w:t>
      </w:r>
    </w:p>
    <w:p>
      <w:pPr>
        <w:spacing w:line="480" w:lineRule="auto" w:before="0" w:after="240"/>
        <w:jc w:val="both"/>
      </w:pPr>
      <w:r>
        <w:rPr>
          <w:rFonts w:ascii="Georgia" w:hAnsi="Georgia" w:eastAsia="Georgia"/>
          <w:b w:val="0"/>
          <w:i w:val="0"/>
          <w:color w:val="000000"/>
          <w:sz w:val="22"/>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b/>
          <w:strike/>
          <w:color w:val="000000"/>
          <w:sz w:val="22"/>
        </w:rPr>
        <w:t>will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drive animal production systems to find new sources of high-quality and sustainable protein feed raw materials. Fortunately, insect farming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seen as a </w:t>
      </w:r>
      <w:r>
        <w:rPr>
          <w:rFonts w:ascii="Georgia" w:hAnsi="Georgia"/>
          <w:b/>
          <w:strike/>
          <w:color w:val="000000"/>
          <w:sz w:val="22"/>
        </w:rPr>
        <w:t>potential</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pPr>
        <w:spacing w:before="360" w:after="120" w:line="480" w:lineRule="auto"/>
        <w:jc w:val="left"/>
      </w:pPr>
      <w:r>
        <w:rPr>
          <w:rFonts w:ascii="Georgia" w:hAnsi="Georgia" w:eastAsia="Georgia"/>
          <w:b/>
          <w:i w:val="0"/>
          <w:sz w:val="24"/>
        </w:rPr>
        <w:t>Aas6  ·  209 words  ·  0 hedges  ·  0.0 per 100 words</w:t>
      </w:r>
    </w:p>
    <w:p>
      <w:pPr>
        <w:spacing w:line="480" w:lineRule="auto" w:before="0" w:after="240"/>
        <w:jc w:val="both"/>
      </w:pPr>
      <w:r>
        <w:rPr>
          <w:rFonts w:ascii="Georgia" w:hAnsi="Georgia" w:eastAsia="Georgia"/>
          <w:b w:val="0"/>
          <w:i w:val="0"/>
          <w:color w:val="000000"/>
          <w:sz w:val="22"/>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hAnsi="Georgia" w:eastAsia="Georgia"/>
          <w:b/>
          <w:strike w:val="0"/>
          <w:color w:val="000000"/>
          <w:sz w:val="22"/>
          <w:shd w:val="clear" w:color="auto" w:fill="BFBFBF"/>
        </w:rPr>
        <w:t>It was found to have a significant effect on the growth and germination rate of pigeon pea in terms of days to germinate, plant height, a number of leaves, and length of leaves</w:t>
      </w:r>
      <w:r>
        <w:rPr>
          <w:rFonts w:ascii="Georgia" w:hAnsi="Georgia" w:eastAsia="Georgia"/>
          <w:b/>
          <w:i w:val="0"/>
          <w:color w:val="000000"/>
          <w:sz w:val="20"/>
        </w:rPr>
        <w:t xml:space="preserve"> [R]</w:t>
      </w:r>
      <w:r>
        <w:rPr>
          <w:rFonts w:ascii="Georgia" w:hAnsi="Georgia" w:eastAsia="Georgia"/>
          <w:b w:val="0"/>
          <w:i w:val="0"/>
          <w:color w:val="000000"/>
          <w:sz w:val="22"/>
        </w:rPr>
        <w:t xml:space="preserve">. </w:t>
      </w:r>
      <w:r>
        <w:rPr>
          <w:rFonts w:ascii="Georgia" w:hAnsi="Georgia" w:eastAsia="Georgia"/>
          <w:b/>
          <w:strike w:val="0"/>
          <w:color w:val="000000"/>
          <w:sz w:val="22"/>
          <w:shd w:val="clear" w:color="auto" w:fill="BFBFBF"/>
        </w:rPr>
        <w:t>Sulfuric was second in terms of the scarification method effectiveness for pigeon pea</w:t>
      </w:r>
      <w:r>
        <w:rPr>
          <w:rFonts w:ascii="Georgia" w:hAnsi="Georgia" w:eastAsia="Georgia"/>
          <w:b/>
          <w:i w:val="0"/>
          <w:color w:val="000000"/>
          <w:sz w:val="20"/>
        </w:rPr>
        <w:t xml:space="preserve"> [G]</w:t>
      </w:r>
      <w:r>
        <w:rPr>
          <w:rFonts w:ascii="Georgia" w:hAnsi="Georgia" w:eastAsia="Georgia"/>
          <w:b w:val="0"/>
          <w:i w:val="0"/>
          <w:color w:val="000000"/>
          <w:sz w:val="22"/>
        </w:rPr>
        <w:t>,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pPr>
        <w:spacing w:before="360" w:after="120" w:line="480" w:lineRule="auto"/>
        <w:jc w:val="left"/>
      </w:pPr>
      <w:r>
        <w:rPr>
          <w:rFonts w:ascii="Georgia" w:hAnsi="Georgia" w:eastAsia="Georgia"/>
          <w:b/>
          <w:i w:val="0"/>
          <w:sz w:val="24"/>
        </w:rPr>
        <w:t>Aas7  ·  202 words  ·  3 hedges  ·  1.49 per 100 words</w:t>
      </w:r>
    </w:p>
    <w:p>
      <w:pPr>
        <w:spacing w:line="480" w:lineRule="auto" w:before="0" w:after="240"/>
        <w:jc w:val="both"/>
      </w:pPr>
      <w:r>
        <w:rPr>
          <w:rFonts w:ascii="Georgia" w:hAnsi="Georgia" w:eastAsia="Georgia"/>
          <w:b w:val="0"/>
          <w:i w:val="0"/>
          <w:color w:val="000000"/>
          <w:sz w:val="22"/>
        </w:rPr>
        <w:t xml:space="preserve">This study was conducted over a 35-day period from May 10, 2023, to June 14, 2023, at San Ildefonso, Magalang, Pampanga.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hAnsi="Georgia" w:eastAsia="Georgia"/>
          <w:b/>
          <w:strike w:val="0"/>
          <w:color w:val="FFFFFF"/>
          <w:sz w:val="22"/>
          <w:shd w:val="clear" w:color="auto" w:fill="FF0000"/>
        </w:rPr>
        <w:t>implying</w:t>
      </w:r>
      <w:r>
        <w:rPr>
          <w:rFonts w:ascii="Georgia" w:hAnsi="Georgia" w:eastAsia="Georgia"/>
          <w:b/>
          <w:i w:val="0"/>
          <w:color w:val="ED7D31"/>
          <w:sz w:val="20"/>
        </w:rPr>
        <w:t xml:space="preserve"> (EC)</w:t>
      </w:r>
      <w:r>
        <w:rPr>
          <w:rFonts w:ascii="Georgia" w:hAnsi="Georgia" w:eastAsia="Georgia"/>
          <w:b w:val="0"/>
          <w:i w:val="0"/>
          <w:color w:val="000000"/>
          <w:sz w:val="22"/>
        </w:rPr>
        <w:t xml:space="preserve"> that Fermented Madre de Agua is a viable feed component under these conditions. Feeding 20% fermented Madre De Agua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improve final weight, while feeding 10% fermented Madre De Agua </w:t>
      </w:r>
      <w:r>
        <w:rPr>
          <w:rFonts w:ascii="Georgia" w:hAnsi="Georgia" w:eastAsia="Georgia"/>
          <w:b/>
          <w:strike w:val="0"/>
          <w:color w:val="000000"/>
          <w:sz w:val="22"/>
          <w:shd w:val="clear" w:color="auto" w:fill="00B0F0"/>
        </w:rPr>
        <w:t>may</w:t>
      </w:r>
      <w:r>
        <w:rPr>
          <w:rFonts w:ascii="Georgia" w:hAnsi="Georgia" w:eastAsia="Georgia"/>
          <w:b/>
          <w:i w:val="0"/>
          <w:color w:val="ED7D31"/>
          <w:sz w:val="20"/>
        </w:rPr>
        <w:t xml:space="preserve"> (EC)</w:t>
      </w:r>
      <w:r>
        <w:rPr>
          <w:rFonts w:ascii="Georgia" w:hAnsi="Georgia" w:eastAsia="Georgia"/>
          <w:b w:val="0"/>
          <w:i w:val="0"/>
          <w:color w:val="000000"/>
          <w:sz w:val="22"/>
        </w:rPr>
        <w:t xml:space="preserve"> reduce dry matter intake.</w:t>
      </w:r>
    </w:p>
    <w:p>
      <w:pPr>
        <w:spacing w:before="360" w:after="120" w:line="480" w:lineRule="auto"/>
        <w:jc w:val="left"/>
      </w:pPr>
      <w:r>
        <w:rPr>
          <w:rFonts w:ascii="Georgia" w:hAnsi="Georgia" w:eastAsia="Georgia"/>
          <w:b/>
          <w:i w:val="0"/>
          <w:sz w:val="24"/>
        </w:rPr>
        <w:t>Aas8  ·  186 words  ·  0 hedges  ·  0.0 per 100 words</w:t>
      </w:r>
    </w:p>
    <w:p>
      <w:pPr>
        <w:spacing w:line="480" w:lineRule="auto" w:before="0" w:after="240"/>
        <w:jc w:val="both"/>
      </w:pPr>
      <w:r>
        <w:rPr>
          <w:rFonts w:ascii="Georgia" w:hAnsi="Georgia" w:eastAsia="Georgia"/>
          <w:b w:val="0"/>
          <w:i w:val="0"/>
          <w:color w:val="000000"/>
          <w:sz w:val="22"/>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b/>
          <w:strike/>
          <w:color w:val="000000"/>
          <w:sz w:val="22"/>
        </w:rPr>
        <w:t>indicating</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superior feed efficiency and improved survivability to T2. Based on the results of the study,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to feed mallard ducks with 75% rice porridge and 25% fish entrails during brooding stage at day 1 to day 21 for enhancing weight gain and achieving higher final weights in mallard ducks. Further research </w:t>
      </w:r>
      <w:r>
        <w:rPr>
          <w:rFonts w:ascii="Georgia" w:hAnsi="Georgia"/>
          <w:b/>
          <w:strike/>
          <w:color w:val="000000"/>
          <w:sz w:val="22"/>
        </w:rPr>
        <w:t>can</w:t>
      </w:r>
      <w:r>
        <w:rPr>
          <w:rFonts w:ascii="Georgia" w:hAnsi="Georgia" w:eastAsia="Georgia"/>
          <w:b w:val="0"/>
          <w:i w:val="0"/>
          <w:color w:val="808080"/>
          <w:sz w:val="20"/>
        </w:rPr>
        <w:t xml:space="preserve"> (FP-Gen)</w:t>
      </w:r>
      <w:r>
        <w:rPr>
          <w:rFonts w:ascii="Georgia" w:hAnsi="Georgia" w:eastAsia="Georgia"/>
          <w:b w:val="0"/>
          <w:i w:val="0"/>
          <w:color w:val="000000"/>
          <w:sz w:val="22"/>
        </w:rPr>
        <w:t xml:space="preserve"> explore the long-term effects and cost-effectiveness of these treatments and their impact on meat quality and reproductive performance.</w:t>
      </w:r>
    </w:p>
    <w:p>
      <w:pPr>
        <w:spacing w:before="360" w:after="120" w:line="480" w:lineRule="auto"/>
        <w:jc w:val="left"/>
      </w:pPr>
      <w:r>
        <w:rPr>
          <w:rFonts w:ascii="Georgia" w:hAnsi="Georgia" w:eastAsia="Georgia"/>
          <w:b/>
          <w:i w:val="0"/>
          <w:sz w:val="24"/>
        </w:rPr>
        <w:t>Aas9  ·  188 words  ·  0 hedges  ·  0.0 per 100 words</w:t>
      </w:r>
    </w:p>
    <w:p>
      <w:pPr>
        <w:spacing w:line="480" w:lineRule="auto" w:before="0" w:after="240"/>
        <w:jc w:val="both"/>
      </w:pPr>
      <w:r>
        <w:rPr>
          <w:rFonts w:ascii="Georgia" w:hAnsi="Georgia" w:eastAsia="Georgia"/>
          <w:b w:val="0"/>
          <w:i w:val="0"/>
          <w:color w:val="000000"/>
          <w:sz w:val="22"/>
        </w:rPr>
        <w:t xml:space="preserve">The study was conducted at EJR ANNE FARM, San Ildefonso, Magalang, Pampanga from April 25 to April 30, 2023 to find out the “Efficacy of Diatomaceous Earth (DE) and Neem Tree Extract (Azadirachta indica) on House Fly Larvae (Musca domestica) on Poultry Manure”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w:t>
      </w:r>
      <w:r>
        <w:rPr>
          <w:rFonts w:ascii="Georgia" w:hAnsi="Georgia" w:eastAsia="Georgia"/>
          <w:b/>
          <w:strike w:val="0"/>
          <w:color w:val="000000"/>
          <w:sz w:val="22"/>
          <w:shd w:val="clear" w:color="auto" w:fill="BFBFBF"/>
        </w:rPr>
        <w:t>The results disclosed that the percentage of mortality and moisture content were statistically significant at 1% (P&lt;0.01) and (P&lt;0.05) level with 48 hours after the post-treatment</w:t>
      </w:r>
      <w:r>
        <w:rPr>
          <w:rFonts w:ascii="Georgia" w:hAnsi="Georgia" w:eastAsia="Georgia"/>
          <w:b/>
          <w:i w:val="0"/>
          <w:color w:val="000000"/>
          <w:sz w:val="20"/>
        </w:rPr>
        <w:t xml:space="preserve"> [R]</w:t>
      </w:r>
      <w:r>
        <w:rPr>
          <w:rFonts w:ascii="Georgia" w:hAnsi="Georgia" w:eastAsia="Georgia"/>
          <w:b w:val="0"/>
          <w:i w:val="0"/>
          <w:color w:val="000000"/>
          <w:sz w:val="22"/>
        </w:rPr>
        <w:t xml:space="preserve">. However, </w:t>
      </w:r>
      <w:r>
        <w:rPr>
          <w:rFonts w:ascii="Georgia" w:hAnsi="Georgia" w:eastAsia="Georgia"/>
          <w:b/>
          <w:strike w:val="0"/>
          <w:color w:val="000000"/>
          <w:sz w:val="22"/>
          <w:shd w:val="clear" w:color="auto" w:fill="BFBFBF"/>
        </w:rPr>
        <w:t>mortality rate and moisture content were not significant after 6 hours and 24 hours</w:t>
      </w:r>
      <w:r>
        <w:rPr>
          <w:rFonts w:ascii="Georgia" w:hAnsi="Georgia" w:eastAsia="Georgia"/>
          <w:b/>
          <w:i w:val="0"/>
          <w:color w:val="000000"/>
          <w:sz w:val="20"/>
        </w:rPr>
        <w:t xml:space="preserve"> [R]</w:t>
      </w:r>
      <w:r>
        <w:rPr>
          <w:rFonts w:ascii="Georgia" w:hAnsi="Georgia" w:eastAsia="Georgia"/>
          <w:b w:val="0"/>
          <w:i w:val="0"/>
          <w:color w:val="000000"/>
          <w:sz w:val="22"/>
        </w:rPr>
        <w:t xml:space="preserve">. Therefore, it is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for future researchers to add Diatomaceous earth and neem tree extract and check the humidity. Extend data collection for 72 hours and 96 hours for future study.</w:t>
      </w:r>
    </w:p>
    <w:p>
      <w:pPr>
        <w:spacing w:before="360" w:after="120" w:line="480" w:lineRule="auto"/>
        <w:jc w:val="left"/>
      </w:pPr>
      <w:r>
        <w:rPr>
          <w:rFonts w:ascii="Georgia" w:hAnsi="Georgia" w:eastAsia="Georgia"/>
          <w:b/>
          <w:i w:val="0"/>
          <w:sz w:val="24"/>
        </w:rPr>
        <w:t>Aas10  ·  283 words  ·  2 hedges  ·  0.71 per 100 words</w:t>
      </w:r>
    </w:p>
    <w:p>
      <w:pPr>
        <w:spacing w:line="480" w:lineRule="auto" w:before="0" w:after="240"/>
        <w:jc w:val="both"/>
      </w:pPr>
      <w:r>
        <w:rPr>
          <w:rFonts w:ascii="Georgia" w:hAnsi="Georgia" w:eastAsia="Georgia"/>
          <w:b w:val="0"/>
          <w:i w:val="0"/>
          <w:color w:val="000000"/>
          <w:sz w:val="22"/>
        </w:rPr>
        <w:t xml:space="preserve">The study was conducted at Sitio Corba, San Vicente, Concepcion, Tarlac,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hAnsi="Georgia" w:eastAsia="Georgia"/>
          <w:b/>
          <w:strike w:val="0"/>
          <w:color w:val="000000"/>
          <w:sz w:val="22"/>
          <w:shd w:val="clear" w:color="auto" w:fill="00B0F0"/>
        </w:rPr>
        <w:t>can</w:t>
      </w:r>
      <w:r>
        <w:rPr>
          <w:rFonts w:ascii="Georgia" w:hAnsi="Georgia" w:eastAsia="Georgia"/>
          <w:b/>
          <w:i w:val="0"/>
          <w:color w:val="ED7D31"/>
          <w:sz w:val="20"/>
        </w:rPr>
        <w:t xml:space="preserve"> (EC)</w:t>
      </w:r>
      <w:r>
        <w:rPr>
          <w:rFonts w:ascii="Georgia" w:hAnsi="Georgia" w:eastAsia="Georgia"/>
          <w:b w:val="0"/>
          <w:i w:val="0"/>
          <w:color w:val="000000"/>
          <w:sz w:val="22"/>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b/>
          <w:strike/>
          <w:color w:val="000000"/>
          <w:sz w:val="22"/>
        </w:rPr>
        <w:t>recommended</w:t>
      </w:r>
      <w:r>
        <w:rPr>
          <w:rFonts w:ascii="Georgia" w:hAnsi="Georgia" w:eastAsia="Georgia"/>
          <w:b w:val="0"/>
          <w:i w:val="0"/>
          <w:color w:val="808080"/>
          <w:sz w:val="20"/>
        </w:rPr>
        <w:t xml:space="preserve"> (FP-Rec)</w:t>
      </w:r>
      <w:r>
        <w:rPr>
          <w:rFonts w:ascii="Georgia" w:hAnsi="Georgia" w:eastAsia="Georgia"/>
          <w:b w:val="0"/>
          <w:i w:val="0"/>
          <w:color w:val="000000"/>
          <w:sz w:val="22"/>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eastAsia="Georgia"/>
          <w:b/>
          <w:strike w:val="0"/>
          <w:color w:val="FFFFFF"/>
          <w:sz w:val="22"/>
          <w:shd w:val="clear" w:color="auto" w:fill="FF0000"/>
        </w:rPr>
        <w:t>potential</w:t>
      </w:r>
      <w:r>
        <w:rPr>
          <w:rFonts w:ascii="Georgia" w:hAnsi="Georgia" w:eastAsia="Georgia"/>
          <w:b/>
          <w:i w:val="0"/>
          <w:color w:val="ED7D31"/>
          <w:sz w:val="20"/>
        </w:rPr>
        <w:t xml:space="preserve"> (EC)</w:t>
      </w:r>
      <w:r>
        <w:rPr>
          <w:rFonts w:ascii="Georgia" w:hAnsi="Georgia" w:eastAsia="Georgia"/>
          <w:b w:val="0"/>
          <w:i w:val="0"/>
          <w:color w:val="000000"/>
          <w:sz w:val="22"/>
        </w:rPr>
        <w:t xml:space="preserve"> as an alternative feed ration for rabbits without adverse effects, and considering that azolla </w:t>
      </w:r>
      <w:r>
        <w:rPr>
          <w:rFonts w:ascii="Georgia" w:hAnsi="Georgia"/>
          <w:b/>
          <w:strike/>
          <w:color w:val="000000"/>
          <w:sz w:val="22"/>
        </w:rPr>
        <w:t>can</w:t>
      </w:r>
      <w:r>
        <w:rPr>
          <w:rFonts w:ascii="Georgia" w:hAnsi="Georgia" w:eastAsia="Georgia"/>
          <w:b w:val="0"/>
          <w:i w:val="0"/>
          <w:color w:val="808080"/>
          <w:sz w:val="20"/>
        </w:rPr>
        <w:t xml:space="preserve"> (FP-Cap)</w:t>
      </w:r>
      <w:r>
        <w:rPr>
          <w:rFonts w:ascii="Georgia" w:hAnsi="Georgia" w:eastAsia="Georgia"/>
          <w:b w:val="0"/>
          <w:i w:val="0"/>
          <w:color w:val="000000"/>
          <w:sz w:val="22"/>
        </w:rPr>
        <w:t xml:space="preserve"> help breeders to lessen the feed cost in production.</w:t>
      </w:r>
    </w:p>
    <w:p>
      <w:pPr>
        <w:sectPr>
          <w:headerReference w:type="default" r:id="rId24"/>
          <w:headerReference w:type="first" r:id="rId25"/>
          <w:pgSz w:w="11906" w:h="16838"/>
          <w:pgMar w:top="1440" w:right="1440" w:bottom="1440" w:left="2160" w:header="720" w:footer="720" w:gutter="0"/>
          <w:cols w:space="720"/>
          <w:titlePg/>
          <w:docGrid w:linePitch="360"/>
        </w:sectPr>
      </w:pP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p>
      <w:pPr>
        <w:spacing w:before="0" w:after="0" w:line="240" w:lineRule="auto"/>
      </w:pPr>
      <w:r>
        <w:rPr>
          <w:rFonts w:ascii="Georgia" w:hAnsi="Georgia" w:eastAsia="Georgia"/>
          <w:b w:val="0"/>
          <w:i w:val="0"/>
          <w:sz w:val="22"/>
        </w:rPr>
      </w:r>
    </w:p>
    <w:sectPr w:rsidR="00FC693F" w:rsidRPr="0006063C" w:rsidSect="00034616">
      <w:headerReference w:type="default" r:id="rId26"/>
      <w:headerReference w:type="first" r:id="rId27"/>
      <w:pgSz w:w="11906" w:h="16838"/>
      <w:pgMar w:top="1440" w:right="1440" w:bottom="144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Georgia" w:hAnsi="Georgia"/>
        <w:sz w:val="22"/>
      </w:rPr>
      <w:fldChar w:fldCharType="begin"/>
    </w:r>
    <w:r>
      <w:rPr>
        <w:rFonts w:ascii="Georgia" w:hAnsi="Georgia"/>
        <w:sz w:val="22"/>
      </w:rPr>
      <w:instrText xml:space="preserve">PAGE</w:instrText>
    </w:r>
    <w:r>
      <w:rPr>
        <w:rFonts w:ascii="Georgia" w:hAnsi="Georgia"/>
        <w:sz w:val="22"/>
      </w:rPr>
      <w:fldChar w:fldCharType="end"/>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header" Target="header13.xml"/><Relationship Id="rId23" Type="http://schemas.openxmlformats.org/officeDocument/2006/relationships/header" Target="header14.xml"/><Relationship Id="rId24" Type="http://schemas.openxmlformats.org/officeDocument/2006/relationships/header" Target="header15.xml"/><Relationship Id="rId25" Type="http://schemas.openxmlformats.org/officeDocument/2006/relationships/header" Target="header16.xml"/><Relationship Id="rId26" Type="http://schemas.openxmlformats.org/officeDocument/2006/relationships/header" Target="header17.xml"/><Relationship Id="rId27" Type="http://schemas.openxmlformats.org/officeDocument/2006/relationships/header" Target="head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