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i w:val="0"/>
          <w:iCs w:val="0"/>
          <w:sz w:val="22"/>
          <w:szCs w:val="22"/>
          <w:rtl w:val="0"/>
          <w:b/>
          <w:bCs/>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 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retained hedges were coded Epistemic Caution (EC). No Politeness/Deference (P) or Discourse Organization (DO) hedges were identified. Discourse connectors such as Hence, Thus, Therefore, and In conclusion appear in the corpus and are tagged (DO) in Appendix C but are not counted as hedges. Table 6 presents the function distribution.</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was coded for all 60 abstracts under five categories based on the abstract’s own results language, not the title or methods alone. Binary covers presence or absence findings and diagnostic positive or negative results (for example, zone of inhibition versus none). Continuous covers graded measures such as means, yields, rates, and concentrations. Mixed covers abstracts that combine more than one of those reporting styles. Null/NS covers abstracts that explicitly report non-significance or no significant difference. Other covers results language that does not fit the four boxes cleanly, including descriptive profiles or rankings that are not clearly binary, continuous, mixed, or null. Table 7 shows the distribution: Null/NS 21, Binary 15, Continuous 10, Mixed 9, and Other 5.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As noted in Scope, 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