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THE USE OF HEDGES IN RESEARCH ABSTRACTS</w:t>
      </w:r>
    </w:p>
    <w:p>
      <w:pPr>
        <w:pStyle w:val="BodyText"/>
      </w:pPr>
      <w:r>
        <w:rPr>
          <w:bCs/>
          <w:b/>
        </w:rPr>
        <w:t xml:space="preserve">ACROSS APPLIED LIFE SCIENCES</w:t>
      </w:r>
    </w:p>
    <w:p>
      <w:pPr>
        <w:pStyle w:val="BodyText"/>
      </w:pPr>
      <w:r>
        <w:t xml:space="preserve">A Thesis</w:t>
      </w:r>
    </w:p>
    <w:p>
      <w:pPr>
        <w:pStyle w:val="BodyText"/>
      </w:pPr>
      <w:r>
        <w:t xml:space="preserve">Presented to the Faculty of</w:t>
      </w:r>
    </w:p>
    <w:p>
      <w:pPr>
        <w:pStyle w:val="BodyText"/>
      </w:pPr>
      <w:r>
        <w:t xml:space="preserve">Department of English</w:t>
      </w:r>
    </w:p>
    <w:p>
      <w:pPr>
        <w:pStyle w:val="BodyText"/>
      </w:pPr>
      <w:r>
        <w:t xml:space="preserve">College of Arts and Sciences</w:t>
      </w:r>
    </w:p>
    <w:p>
      <w:pPr>
        <w:pStyle w:val="BodyText"/>
      </w:pPr>
      <w:r>
        <w:t xml:space="preserve">Pampanga State Agricultural University</w:t>
      </w:r>
    </w:p>
    <w:p>
      <w:pPr>
        <w:pStyle w:val="BodyText"/>
      </w:pPr>
      <w:r>
        <w:t xml:space="preserve">Magalang, Pampanga</w:t>
      </w:r>
    </w:p>
    <w:p>
      <w:pPr>
        <w:pStyle w:val="BodyText"/>
      </w:pPr>
      <w:r>
        <w:t xml:space="preserve">In Partial Fulfillment</w:t>
      </w:r>
    </w:p>
    <w:p>
      <w:pPr>
        <w:pStyle w:val="BodyText"/>
      </w:pPr>
      <w:r>
        <w:t xml:space="preserve">of the Requirements for the Degree</w:t>
      </w:r>
    </w:p>
    <w:p>
      <w:pPr>
        <w:pStyle w:val="BodyText"/>
      </w:pPr>
      <w:r>
        <w:t xml:space="preserve">BACHELOR OF ARTS IN ENGLISH LANGUAGE STUDIES</w:t>
      </w:r>
    </w:p>
    <w:p>
      <w:pPr>
        <w:pStyle w:val="BodyText"/>
      </w:pPr>
      <w:r>
        <w:t xml:space="preserve">By</w:t>
      </w:r>
    </w:p>
    <w:p>
      <w:pPr>
        <w:pStyle w:val="BodyText"/>
      </w:pPr>
      <w:r>
        <w:rPr>
          <w:bCs/>
          <w:b/>
        </w:rPr>
        <w:t xml:space="preserve">CHRYZ KEAN F. MANUEL</w:t>
      </w:r>
    </w:p>
    <w:p>
      <w:pPr>
        <w:pStyle w:val="BodyText"/>
      </w:pPr>
      <w:r>
        <w:t xml:space="preserve">October 2026</w:t>
      </w:r>
    </w:p>
    <w:p>
      <w:pPr>
        <w:pStyle w:val="BodyText"/>
      </w:pPr>
      <w:r>
        <w:rPr>
          <w:bCs/>
          <w:b/>
        </w:rPr>
        <w:t xml:space="preserve">INTRODUCTION</w:t>
      </w:r>
    </w:p>
    <w:p>
      <w:pPr>
        <w:pStyle w:val="BodyText"/>
      </w:pPr>
      <w:r>
        <w:rPr>
          <w:bCs/>
          <w:b/>
        </w:rPr>
        <w:t xml:space="preserve">BACKGROUND OF THE STUDY</w:t>
      </w:r>
    </w:p>
    <w:p>
      <w:pPr>
        <w:pStyle w:val="BodyText"/>
      </w:pPr>
      <w:r>
        <w:t xml:space="preserve">Certainty, it seems, is the one thing academic writers are certain they should avoid. Writing guides urge developing researchers to</w:t>
      </w:r>
      <w:r>
        <w:t xml:space="preserve"> </w:t>
      </w:r>
      <w:r>
        <w:t xml:space="preserve">“</w:t>
      </w:r>
      <w:r>
        <w:t xml:space="preserve">qualify your claims,</w:t>
      </w:r>
      <w:r>
        <w:t xml:space="preserve">”</w:t>
      </w:r>
      <w:r>
        <w:t xml:space="preserve"> </w:t>
      </w:r>
      <w:r>
        <w:t xml:space="preserve">as if hedging were a single transferable skill. Yet the actual language of uncertainty shifts with the nature of the evidence and the demands of each field.</w:t>
      </w:r>
    </w:p>
    <w:p>
      <w:pPr>
        <w:pStyle w:val="BodyText"/>
      </w:pPr>
      <w:r>
        <w:t xml:space="preserve">Expert writers hedge to present claims with caution rather than absolute certainty. Hyland (1998) showed that hedging is a core rhetorical resource: devices such as</w:t>
      </w:r>
      <w:r>
        <w:t xml:space="preserve"> </w:t>
      </w:r>
      <w:r>
        <w:rPr>
          <w:iCs/>
          <w:i/>
        </w:rPr>
        <w:t xml:space="preserve">may</w:t>
      </w:r>
      <w:r>
        <w:t xml:space="preserve">,</w:t>
      </w:r>
      <w:r>
        <w:t xml:space="preserve"> </w:t>
      </w:r>
      <w:r>
        <w:rPr>
          <w:iCs/>
          <w:i/>
        </w:rPr>
        <w:t xml:space="preserve">suggest</w:t>
      </w:r>
      <w:r>
        <w:t xml:space="preserve">, or</w:t>
      </w:r>
      <w:r>
        <w:t xml:space="preserve"> </w:t>
      </w:r>
      <w:r>
        <w:rPr>
          <w:iCs/>
          <w:i/>
        </w:rPr>
        <w:t xml:space="preserve">generally</w:t>
      </w:r>
      <w:r>
        <w:t xml:space="preserve"> </w:t>
      </w:r>
      <w:r>
        <w:t xml:space="preserve">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pStyle w:val="BodyText"/>
      </w:pPr>
      <w: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pStyle w:val="BodyText"/>
      </w:pPr>
      <w: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Pr>
        <w:pStyle w:val="BodyText"/>
      </w:pPr>
      <w:r>
        <w:rPr>
          <w:bCs/>
          <w:b/>
        </w:rPr>
        <w:t xml:space="preserve">Hedging in Undergraduate Writing</w:t>
      </w:r>
    </w:p>
    <w:p>
      <w:pPr>
        <w:pStyle w:val="BodyText"/>
      </w:pPr>
      <w: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w:t>
      </w:r>
      <w:r>
        <w:rPr>
          <w:iCs/>
          <w:i/>
        </w:rPr>
        <w:t xml:space="preserve">dapat</w:t>
      </w:r>
      <w:r>
        <w:t xml:space="preserve">),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pStyle w:val="BodyText"/>
      </w:pPr>
      <w:r>
        <w:t xml:space="preserve">These studies leave two gaps for the present work. Only Khunasathitchai et al. examined abstracts specifically; the others analyzed discussion sections or full papers, where rhetorical space is wider. None is set in a Philippine L2 context.</w:t>
      </w:r>
    </w:p>
    <w:p>
      <w:pPr>
        <w:pStyle w:val="BodyText"/>
      </w:pPr>
      <w:r>
        <w:rPr>
          <w:bCs/>
          <w:b/>
        </w:rPr>
        <w:t xml:space="preserve">Disciplinary Variation in Expert Writing</w:t>
      </w:r>
    </w:p>
    <w:p>
      <w:pPr>
        <w:pStyle w:val="BodyText"/>
      </w:pPr>
      <w: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The two studies use different disciplinary pairings and different taxonomies—Afshar the full Salager-Meyer (1994) scheme, Mohammed a lexical-hedge focus—so the contrast is not a contradiction so much as evidence that hedging density tracks specific epistemic demands rather than a single hard/soft axis. Hamidi et al. (2025) found clinical science papers used slightly more hedges than basic science papers within medicine, though without statistical significance (p = .064).</w:t>
      </w:r>
    </w:p>
    <w:p>
      <w:pPr>
        <w:pStyle w:val="BodyText"/>
      </w:pPr>
      <w:r>
        <w:t xml:space="preserve">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w:t>
      </w:r>
      <w:r>
        <w:t xml:space="preserve"> </w:t>
      </w:r>
      <w:r>
        <w:t xml:space="preserve">“</w:t>
      </w:r>
      <w:r>
        <w:t xml:space="preserve">harder,</w:t>
      </w:r>
      <w:r>
        <w:t xml:space="preserve">”</w:t>
      </w:r>
      <w:r>
        <w:t xml:space="preserve"> </w:t>
      </w:r>
      <w:r>
        <w:t xml:space="preserve">but because each requires writers to manage different kinds of responsibility.</w:t>
      </w:r>
    </w:p>
    <w:p>
      <w:pPr>
        <w:pStyle w:val="BodyText"/>
      </w:pPr>
      <w:r>
        <w:rPr>
          <w:bCs/>
          <w:b/>
        </w:rPr>
        <w:t xml:space="preserve">Hedging in L2 and Philippine Contexts</w:t>
      </w:r>
    </w:p>
    <w:p>
      <w:pPr>
        <w:pStyle w:val="BodyText"/>
      </w:pPr>
      <w: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pStyle w:val="BodyText"/>
      </w:pPr>
      <w:r>
        <w:t xml:space="preserve">Philippine and regional findings align with this picture. Ningrum, Puspita, and Mulyadi (2024), using the ICNALE learner corpus across ten ASEAN contexts including the Philippines, found a preference for boosters over hedges, with overuse of forms such as</w:t>
      </w:r>
      <w:r>
        <w:t xml:space="preserve"> </w:t>
      </w:r>
      <w:r>
        <w:rPr>
          <w:iCs/>
          <w:i/>
        </w:rPr>
        <w:t xml:space="preserve">completely</w:t>
      </w:r>
      <w:r>
        <w:t xml:space="preserve">,</w:t>
      </w:r>
      <w:r>
        <w:t xml:space="preserve"> </w:t>
      </w:r>
      <w:r>
        <w:rPr>
          <w:iCs/>
          <w:i/>
        </w:rPr>
        <w:t xml:space="preserve">really</w:t>
      </w:r>
      <w:r>
        <w:t xml:space="preserve">, and</w:t>
      </w:r>
      <w:r>
        <w:t xml:space="preserve"> </w:t>
      </w:r>
      <w:r>
        <w:rPr>
          <w:iCs/>
          <w:i/>
        </w:rPr>
        <w:t xml:space="preserve">always</w:t>
      </w:r>
      <w:r>
        <w:t xml:space="preserve">.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Pr>
        <w:pStyle w:val="BodyText"/>
      </w:pPr>
      <w:r>
        <w:t xml:space="preserve">Because this study does not measure English proficiency independently, observed patterns may reflect L2 constraints, disciplinary socialization, or both. The aim is a descriptive baseline, not a causal account.</w:t>
      </w:r>
    </w:p>
    <w:p>
      <w:pPr>
        <w:pStyle w:val="BodyText"/>
      </w:pPr>
      <w:r>
        <w:rPr>
          <w:bCs/>
          <w:b/>
        </w:rPr>
        <w:t xml:space="preserve">The Abstract Genre</w:t>
      </w:r>
    </w:p>
    <w:p>
      <w:pPr>
        <w:pStyle w:val="BodyText"/>
      </w:pPr>
      <w: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pStyle w:val="BodyText"/>
      </w:pPr>
      <w:r>
        <w:rPr>
          <w:bCs/>
          <w:b/>
        </w:rPr>
        <w:t xml:space="preserve">Gap and Purpose</w:t>
      </w:r>
    </w:p>
    <w:p>
      <w:pPr>
        <w:pStyle w:val="BodyText"/>
      </w:pPr>
      <w: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Pr>
        <w:pStyle w:val="BodyText"/>
      </w:pPr>
      <w:r>
        <w:rPr>
          <w:bCs/>
          <w:b/>
        </w:rPr>
        <w:t xml:space="preserve">STATEMENT OF THE PROBLEM</w:t>
      </w:r>
    </w:p>
    <w:p>
      <w:pPr>
        <w:pStyle w:val="BodyText"/>
      </w:pPr>
      <w: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pStyle w:val="BodyText"/>
      </w:pPr>
      <w:r>
        <w:t xml:space="preserve">This study maps hedging patterns in undergraduate thesis abstracts from Agriculture, Veterinary Medicine, and Biology at PSAU. It asks:</w:t>
      </w:r>
    </w:p>
    <w:p>
      <w:pPr>
        <w:numPr>
          <w:ilvl w:val="0"/>
          <w:numId w:val="1001"/>
        </w:numPr>
      </w:pPr>
      <w:r>
        <w:t xml:space="preserve">What types of hedging devices appear in the undergraduate thesis abstracts across the three disciplines?</w:t>
      </w:r>
    </w:p>
    <w:p>
      <w:pPr>
        <w:numPr>
          <w:ilvl w:val="0"/>
          <w:numId w:val="1001"/>
        </w:numPr>
      </w:pPr>
      <w:r>
        <w:t xml:space="preserve">How does the frequency of hedging devices vary across Agriculture, Veterinary Medicine, and Biology programs?</w:t>
      </w:r>
    </w:p>
    <w:p>
      <w:pPr>
        <w:numPr>
          <w:ilvl w:val="0"/>
          <w:numId w:val="1001"/>
        </w:numPr>
      </w:pPr>
      <w:r>
        <w:t xml:space="preserve">Among the hedging devices identified, what rhetorical functions do they serve?</w:t>
      </w:r>
    </w:p>
    <w:p>
      <w:pPr>
        <w:numPr>
          <w:ilvl w:val="0"/>
          <w:numId w:val="1001"/>
        </w:numPr>
      </w:pPr>
      <w:r>
        <w:t xml:space="preserve">What do the frequency and functional patterns suggest about the construction of epistemic stance through hedging among developing researchers?</w:t>
      </w:r>
    </w:p>
    <w:p>
      <w:pPr>
        <w:pStyle w:val="FirstParagraph"/>
      </w:pPr>
      <w:r>
        <w:rPr>
          <w:bCs/>
          <w:b/>
        </w:rPr>
        <w:t xml:space="preserve">RESEARCH FRAMEWORK</w:t>
      </w:r>
    </w:p>
    <w:p>
      <w:pPr>
        <w:pStyle w:val="BodyText"/>
      </w:pPr>
      <w:r>
        <w:t xml:space="preserve">The coding scheme is adapted from Hyland’s (1998) classification of hedging forms, consolidated into four types for this corpus: lexical hedges (e.g.,</w:t>
      </w:r>
      <w:r>
        <w:t xml:space="preserve"> </w:t>
      </w:r>
      <w:r>
        <w:rPr>
          <w:iCs/>
          <w:i/>
        </w:rPr>
        <w:t xml:space="preserve">suggest</w:t>
      </w:r>
      <w:r>
        <w:t xml:space="preserve">,</w:t>
      </w:r>
      <w:r>
        <w:t xml:space="preserve"> </w:t>
      </w:r>
      <w:r>
        <w:rPr>
          <w:iCs/>
          <w:i/>
        </w:rPr>
        <w:t xml:space="preserve">indicate</w:t>
      </w:r>
      <w:r>
        <w:t xml:space="preserve">,</w:t>
      </w:r>
      <w:r>
        <w:t xml:space="preserve"> </w:t>
      </w:r>
      <w:r>
        <w:rPr>
          <w:iCs/>
          <w:i/>
        </w:rPr>
        <w:t xml:space="preserve">possible</w:t>
      </w:r>
      <w:r>
        <w:t xml:space="preserve">), modal verbs (e.g.,</w:t>
      </w:r>
      <w:r>
        <w:t xml:space="preserve"> </w:t>
      </w:r>
      <w:r>
        <w:rPr>
          <w:iCs/>
          <w:i/>
        </w:rPr>
        <w:t xml:space="preserve">may</w:t>
      </w:r>
      <w:r>
        <w:t xml:space="preserve">,</w:t>
      </w:r>
      <w:r>
        <w:t xml:space="preserve"> </w:t>
      </w:r>
      <w:r>
        <w:rPr>
          <w:iCs/>
          <w:i/>
        </w:rPr>
        <w:t xml:space="preserve">might</w:t>
      </w:r>
      <w:r>
        <w:t xml:space="preserve">), adverbial hedges (e.g.,</w:t>
      </w:r>
      <w:r>
        <w:t xml:space="preserve"> </w:t>
      </w:r>
      <w:r>
        <w:rPr>
          <w:iCs/>
          <w:i/>
        </w:rPr>
        <w:t xml:space="preserve">generally</w:t>
      </w:r>
      <w:r>
        <w:t xml:space="preserve">,</w:t>
      </w:r>
      <w:r>
        <w:t xml:space="preserve"> </w:t>
      </w:r>
      <w:r>
        <w:rPr>
          <w:iCs/>
          <w:i/>
        </w:rPr>
        <w:t xml:space="preserve">typically</w:t>
      </w:r>
      <w:r>
        <w:t xml:space="preserve">), and clause-level hedges (e.g.,</w:t>
      </w:r>
      <w:r>
        <w:t xml:space="preserve"> </w:t>
      </w:r>
      <w:r>
        <w:rPr>
          <w:iCs/>
          <w:i/>
        </w:rPr>
        <w:t xml:space="preserve">it seems</w:t>
      </w:r>
      <w:r>
        <w:t xml:space="preserve">,</w:t>
      </w:r>
      <w:r>
        <w:t xml:space="preserve"> </w:t>
      </w:r>
      <w:r>
        <w:rPr>
          <w:iCs/>
          <w:i/>
        </w:rPr>
        <w:t xml:space="preserve">I think</w:t>
      </w:r>
      <w:r>
        <w:t xml:space="preserve">). Three functions are coded: epistemic caution (uncertainty about the truth of a claim), politeness (deference to readers or prior research), and discourse organization (structuring the text or managing expectations).</w:t>
      </w:r>
    </w:p>
    <w:p>
      <w:pPr>
        <w:pStyle w:val="BodyText"/>
      </w:pPr>
      <w: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pStyle w:val="BodyText"/>
      </w:pPr>
      <w:r>
        <w:rPr>
          <w:bCs/>
          <w:b/>
        </w:rPr>
        <w:t xml:space="preserve">SIGNIFICANCE OF THE STUDY</w:t>
      </w:r>
    </w:p>
    <w:p>
      <w:pPr>
        <w:pStyle w:val="BodyText"/>
      </w:pPr>
      <w: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w:t>
      </w:r>
      <w:r>
        <w:t xml:space="preserve"> </w:t>
      </w:r>
      <w:r>
        <w:t xml:space="preserve">“</w:t>
      </w:r>
      <w:r>
        <w:t xml:space="preserve">be cautious.</w:t>
      </w:r>
      <w:r>
        <w:t xml:space="preserve">”</w:t>
      </w:r>
      <w:r>
        <w:t xml:space="preserve"> </w:t>
      </w:r>
      <w:r>
        <w:t xml:space="preserve">For the wider literature on L2 academic writing, it adds Philippine applied-science abstract data to a body of work that has drawn mainly from other regional and disciplinary settings. For curriculum design, the findings can inform whether hedging instruction should be discipline-sensitive even at the undergraduate level.</w:t>
      </w:r>
    </w:p>
    <w:p>
      <w:pPr>
        <w:pStyle w:val="BodyText"/>
      </w:pPr>
      <w:r>
        <w:rPr>
          <w:bCs/>
          <w:b/>
        </w:rPr>
        <w:t xml:space="preserve">SCOPE AND LIMITATIONS</w:t>
      </w:r>
    </w:p>
    <w:p>
      <w:pPr>
        <w:pStyle w:val="BodyText"/>
      </w:pPr>
      <w:r>
        <w:t xml:space="preserve">The corpus is limited to 60 undergraduate thesis abstracts (20 per discipline) from PSAU, drawn by disproportionate stratified systematic sampling. Only abstracts are analyzed, not full thesis chapters. Coding was performed by a single rater; intra-rater agreement reached κ = 0.89, but no inter-rater check was available. English proficiency was not measured as an independent variable. Findings describe this corpus; they do not generalize beyond it without replication.</w:t>
      </w:r>
    </w:p>
    <w:p>
      <w:pPr>
        <w:pStyle w:val="BodyText"/>
      </w:pPr>
      <w:r>
        <w:rPr>
          <w:bCs/>
          <w:b/>
        </w:rPr>
        <w:t xml:space="preserve">DEFINITION OF TERMS</w:t>
      </w:r>
    </w:p>
    <w:p>
      <w:pPr>
        <w:pStyle w:val="BodyText"/>
      </w:pPr>
      <w:r>
        <w:rPr>
          <w:bCs/>
          <w:b/>
        </w:rPr>
        <w:t xml:space="preserve">Hedging / hedge.</w:t>
      </w:r>
      <w:r>
        <w:t xml:space="preserve"> </w:t>
      </w:r>
      <w:r>
        <w:t xml:space="preserve">A linguistic device that qualifies the writer’s commitment to a proposition (Hyland, 1998).</w:t>
      </w:r>
    </w:p>
    <w:p>
      <w:pPr>
        <w:pStyle w:val="BodyText"/>
      </w:pPr>
      <w:r>
        <w:rPr>
          <w:bCs/>
          <w:b/>
        </w:rPr>
        <w:t xml:space="preserve">Modal verb hedge.</w:t>
      </w:r>
      <w:r>
        <w:t xml:space="preserve"> </w:t>
      </w:r>
      <w:r>
        <w:t xml:space="preserve">Epistemic uses of modals such as</w:t>
      </w:r>
      <w:r>
        <w:t xml:space="preserve"> </w:t>
      </w:r>
      <w:r>
        <w:rPr>
          <w:iCs/>
          <w:i/>
        </w:rPr>
        <w:t xml:space="preserve">may</w:t>
      </w:r>
      <w:r>
        <w:t xml:space="preserve">,</w:t>
      </w:r>
      <w:r>
        <w:t xml:space="preserve"> </w:t>
      </w:r>
      <w:r>
        <w:rPr>
          <w:iCs/>
          <w:i/>
        </w:rPr>
        <w:t xml:space="preserve">might</w:t>
      </w:r>
      <w:r>
        <w:t xml:space="preserve">,</w:t>
      </w:r>
      <w:r>
        <w:t xml:space="preserve"> </w:t>
      </w:r>
      <w:r>
        <w:rPr>
          <w:iCs/>
          <w:i/>
        </w:rPr>
        <w:t xml:space="preserve">could</w:t>
      </w:r>
      <w:r>
        <w:t xml:space="preserve">,</w:t>
      </w:r>
      <w:r>
        <w:t xml:space="preserve"> </w:t>
      </w:r>
      <w:r>
        <w:rPr>
          <w:iCs/>
          <w:i/>
        </w:rPr>
        <w:t xml:space="preserve">can</w:t>
      </w:r>
      <w:r>
        <w:t xml:space="preserve"> </w:t>
      </w:r>
      <w:r>
        <w:t xml:space="preserve">(when signaling possibility rather than ability).</w:t>
      </w:r>
    </w:p>
    <w:p>
      <w:pPr>
        <w:pStyle w:val="BodyText"/>
      </w:pPr>
      <w:r>
        <w:rPr>
          <w:bCs/>
          <w:b/>
        </w:rPr>
        <w:t xml:space="preserve">Lexical hedge.</w:t>
      </w:r>
      <w:r>
        <w:t xml:space="preserve"> </w:t>
      </w:r>
      <w:r>
        <w:t xml:space="preserve">Content words that soften commitment, including verbs (</w:t>
      </w:r>
      <w:r>
        <w:rPr>
          <w:iCs/>
          <w:i/>
        </w:rPr>
        <w:t xml:space="preserve">suggest</w:t>
      </w:r>
      <w:r>
        <w:t xml:space="preserve">,</w:t>
      </w:r>
      <w:r>
        <w:t xml:space="preserve"> </w:t>
      </w:r>
      <w:r>
        <w:rPr>
          <w:iCs/>
          <w:i/>
        </w:rPr>
        <w:t xml:space="preserve">indicate</w:t>
      </w:r>
      <w:r>
        <w:t xml:space="preserve">), adjectives (</w:t>
      </w:r>
      <w:r>
        <w:rPr>
          <w:iCs/>
          <w:i/>
        </w:rPr>
        <w:t xml:space="preserve">possible</w:t>
      </w:r>
      <w:r>
        <w:t xml:space="preserve">,</w:t>
      </w:r>
      <w:r>
        <w:t xml:space="preserve"> </w:t>
      </w:r>
      <w:r>
        <w:rPr>
          <w:iCs/>
          <w:i/>
        </w:rPr>
        <w:t xml:space="preserve">potential</w:t>
      </w:r>
      <w:r>
        <w:t xml:space="preserve"> </w:t>
      </w:r>
      <w:r>
        <w:t xml:space="preserve">when epistemic), and related forms.</w:t>
      </w:r>
    </w:p>
    <w:p>
      <w:pPr>
        <w:pStyle w:val="BodyText"/>
      </w:pPr>
      <w:r>
        <w:rPr>
          <w:bCs/>
          <w:b/>
        </w:rPr>
        <w:t xml:space="preserve">Adverbial hedge.</w:t>
      </w:r>
      <w:r>
        <w:t xml:space="preserve"> </w:t>
      </w:r>
      <w:r>
        <w:t xml:space="preserve">Adverbs that qualify force or frequency (</w:t>
      </w:r>
      <w:r>
        <w:rPr>
          <w:iCs/>
          <w:i/>
        </w:rPr>
        <w:t xml:space="preserve">generally</w:t>
      </w:r>
      <w:r>
        <w:t xml:space="preserve">,</w:t>
      </w:r>
      <w:r>
        <w:t xml:space="preserve"> </w:t>
      </w:r>
      <w:r>
        <w:rPr>
          <w:iCs/>
          <w:i/>
        </w:rPr>
        <w:t xml:space="preserve">typically</w:t>
      </w:r>
      <w:r>
        <w:t xml:space="preserve">,</w:t>
      </w:r>
      <w:r>
        <w:t xml:space="preserve"> </w:t>
      </w:r>
      <w:r>
        <w:rPr>
          <w:iCs/>
          <w:i/>
        </w:rPr>
        <w:t xml:space="preserve">approximately</w:t>
      </w:r>
      <w:r>
        <w:t xml:space="preserve">).</w:t>
      </w:r>
    </w:p>
    <w:p>
      <w:pPr>
        <w:pStyle w:val="BodyText"/>
      </w:pPr>
      <w:r>
        <w:rPr>
          <w:bCs/>
          <w:b/>
        </w:rPr>
        <w:t xml:space="preserve">Clause-level hedge.</w:t>
      </w:r>
      <w:r>
        <w:t xml:space="preserve"> </w:t>
      </w:r>
      <w:r>
        <w:t xml:space="preserve">Constructions such as</w:t>
      </w:r>
      <w:r>
        <w:t xml:space="preserve"> </w:t>
      </w:r>
      <w:r>
        <w:rPr>
          <w:iCs/>
          <w:i/>
        </w:rPr>
        <w:t xml:space="preserve">it seems that</w:t>
      </w:r>
      <w:r>
        <w:t xml:space="preserve"> </w:t>
      </w:r>
      <w:r>
        <w:t xml:space="preserve">or</w:t>
      </w:r>
      <w:r>
        <w:t xml:space="preserve"> </w:t>
      </w:r>
      <w:r>
        <w:rPr>
          <w:iCs/>
          <w:i/>
        </w:rPr>
        <w:t xml:space="preserve">I think that</w:t>
      </w:r>
      <w:r>
        <w:t xml:space="preserve"> </w:t>
      </w:r>
      <w:r>
        <w:t xml:space="preserve">that frame a whole clause as tentative.</w:t>
      </w:r>
    </w:p>
    <w:p>
      <w:pPr>
        <w:pStyle w:val="BodyText"/>
      </w:pPr>
      <w:r>
        <w:rPr>
          <w:bCs/>
          <w:b/>
        </w:rPr>
        <w:t xml:space="preserve">Epistemic caution.</w:t>
      </w:r>
      <w:r>
        <w:t xml:space="preserve"> </w:t>
      </w:r>
      <w:r>
        <w:t xml:space="preserve">The function of expressing uncertainty about the truth, precision, or generalizability of a claim.</w:t>
      </w:r>
    </w:p>
    <w:p>
      <w:pPr>
        <w:pStyle w:val="BodyText"/>
      </w:pPr>
      <w:r>
        <w:rPr>
          <w:bCs/>
          <w:b/>
        </w:rPr>
        <w:t xml:space="preserve">Politeness (hedging function).</w:t>
      </w:r>
      <w:r>
        <w:t xml:space="preserve"> </w:t>
      </w:r>
      <w:r>
        <w:t xml:space="preserve">Softening face-threat toward readers or prior research.</w:t>
      </w:r>
    </w:p>
    <w:p>
      <w:pPr>
        <w:pStyle w:val="BodyText"/>
      </w:pPr>
      <w:r>
        <w:rPr>
          <w:bCs/>
          <w:b/>
        </w:rPr>
        <w:t xml:space="preserve">Discourse organization (hedging function).</w:t>
      </w:r>
      <w:r>
        <w:t xml:space="preserve"> </w:t>
      </w:r>
      <w:r>
        <w:t xml:space="preserve">Using hedge-like forms mainly to structure text or manage reader expectations rather than to mark uncertainty.</w:t>
      </w:r>
    </w:p>
    <w:p>
      <w:pPr>
        <w:pStyle w:val="BodyText"/>
      </w:pPr>
      <w:r>
        <w:rPr>
          <w:bCs/>
          <w:b/>
        </w:rPr>
        <w:t xml:space="preserve">Developing researcher.</w:t>
      </w:r>
      <w:r>
        <w:t xml:space="preserve"> </w:t>
      </w:r>
      <w:r>
        <w:t xml:space="preserve">An undergraduate thesis writer who is acquiring disciplinary research and writing conventions.</w:t>
      </w:r>
    </w:p>
    <w:p>
      <w:pPr>
        <w:pStyle w:val="BodyText"/>
      </w:pPr>
      <w:r>
        <w:rPr>
          <w:bCs/>
          <w:b/>
        </w:rPr>
        <w:t xml:space="preserve">Zero-hedge abstract.</w:t>
      </w:r>
      <w:r>
        <w:t xml:space="preserve"> </w:t>
      </w:r>
      <w:r>
        <w:t xml:space="preserve">An abstract containing no coded hedge tokens under the study’s decision rules.</w:t>
      </w:r>
    </w:p>
    <w:p>
      <w:pPr>
        <w:pStyle w:val="BodyText"/>
      </w:pPr>
      <w:r>
        <w:rPr>
          <w:bCs/>
          <w:b/>
        </w:rPr>
        <w:t xml:space="preserve">False positive (FP).</w:t>
      </w:r>
      <w:r>
        <w:t xml:space="preserve"> </w:t>
      </w:r>
      <w:r>
        <w:t xml:space="preserve">A hedge-like form examined under the Working Test and excluded because removing it did not change the epistemic weight of the claim (e.g., topic-naming</w:t>
      </w:r>
      <w:r>
        <w:t xml:space="preserve"> </w:t>
      </w:r>
      <w:r>
        <w:rPr>
          <w:iCs/>
          <w:i/>
        </w:rPr>
        <w:t xml:space="preserve">potential</w:t>
      </w:r>
      <w:r>
        <w:t xml:space="preserve">, capability</w:t>
      </w:r>
      <w:r>
        <w:t xml:space="preserve"> </w:t>
      </w:r>
      <w:r>
        <w:rPr>
          <w:iCs/>
          <w:i/>
        </w:rPr>
        <w:t xml:space="preserve">can</w:t>
      </w:r>
      <w:r>
        <w:t xml:space="preserve">).</w:t>
      </w:r>
    </w:p>
    <w:p>
      <w:pPr>
        <w:pStyle w:val="BodyText"/>
      </w:pPr>
      <w:r>
        <w:rPr>
          <w:bCs/>
          <w:b/>
        </w:rPr>
        <w:t xml:space="preserve">Pro forma hedging.</w:t>
      </w:r>
      <w:r>
        <w:t xml:space="preserve"> </w:t>
      </w:r>
      <w:r>
        <w:t xml:space="preserve">A descriptive label used in this study for the acquisition of hedge-like lexical items without corresponding epistemic deployment; offered as a hypothesis-generating observation, not an established theoretical construct.</w:t>
      </w:r>
    </w:p>
    <w:p>
      <w:pPr>
        <w:pStyle w:val="BodyText"/>
      </w:pPr>
      <w:r>
        <w:rPr>
          <w:bCs/>
          <w:b/>
        </w:rPr>
        <w:t xml:space="preserve">METHODOLOGY</w:t>
      </w:r>
    </w:p>
    <w:p>
      <w:pPr>
        <w:pStyle w:val="BodyText"/>
      </w:pPr>
      <w:r>
        <w:rPr>
          <w:bCs/>
          <w:b/>
        </w:rPr>
        <w:t xml:space="preserve">RESEARCH CONTEXT</w:t>
      </w:r>
    </w:p>
    <w:p>
      <w:pPr>
        <w:pStyle w:val="BodyText"/>
      </w:pPr>
      <w:r>
        <w:t xml:space="preserve">PSAU is a state agricultural university in Magalang, Pampanga. English is the medium of instruction for thesis writing across the programs sampled. The three disciplines—Agriculture, Veterinary Medicine, and Biology—constitute the core applied life sciences offerings relevant to the research questions.</w:t>
      </w:r>
    </w:p>
    <w:p>
      <w:pPr>
        <w:pStyle w:val="BodyText"/>
      </w:pPr>
      <w:r>
        <w:rPr>
          <w:bCs/>
          <w:b/>
        </w:rPr>
        <w:t xml:space="preserve">RESEARCH DESIGN</w:t>
      </w:r>
    </w:p>
    <w:p>
      <w:pPr>
        <w:pStyle w:val="BodyText"/>
      </w:pPr>
      <w:r>
        <w:t xml:space="preserve">The study uses corpus-assisted discourse analysis. Hedge tokens were identified manually with decision rules adapted from Hyland (1998), then classified by type and function. Quantitative distributions (counts, densities, zero-hedge rates) are reported alongside qualitative interpretation of patterns.</w:t>
      </w:r>
    </w:p>
    <w:p>
      <w:pPr>
        <w:pStyle w:val="BodyText"/>
      </w:pPr>
      <w:r>
        <w:rPr>
          <w:bCs/>
          <w:b/>
        </w:rPr>
        <w:t xml:space="preserve">RESEARCH PROCESS</w:t>
      </w:r>
    </w:p>
    <w:p>
      <w:pPr>
        <w:pStyle w:val="BodyText"/>
      </w:pPr>
      <w:r>
        <w:t xml:space="preserve">Abstracts were sampled through disproportionate stratified systematic sampling: 20 per discipline (Agriculture split 10/10 across relevant sub-programs to balance representation). Each abstract was read in full. Candidate hedge forms were tested with a Working Test: a token counts only if removing it alone changes the epistemic weight of its clause. Tokens that failed the test were logged as false positives with a rejection code. Retained tokens were coded for type (modal, lexical, adverbial, clause-level) and function (epistemic caution, politeness, discourse organization). A second coding pass after a delay produced intra-rater κ = 0.89.</w:t>
      </w:r>
    </w:p>
    <w:p>
      <w:pPr>
        <w:pStyle w:val="BodyText"/>
      </w:pPr>
      <w:r>
        <w:rPr>
          <w:bCs/>
          <w:b/>
        </w:rPr>
        <w:t xml:space="preserve">CODING REVISIONS AND BORDERLINE CASES</w:t>
      </w:r>
    </w:p>
    <w:p>
      <w:pPr>
        <w:pStyle w:val="BodyText"/>
      </w:pPr>
      <w:r>
        <w:t xml:space="preserve">Borderline forms—</w:t>
      </w:r>
      <w:r>
        <w:rPr>
          <w:iCs/>
          <w:i/>
        </w:rPr>
        <w:t xml:space="preserve">can</w:t>
      </w:r>
      <w:r>
        <w:t xml:space="preserve">,</w:t>
      </w:r>
      <w:r>
        <w:t xml:space="preserve"> </w:t>
      </w:r>
      <w:r>
        <w:rPr>
          <w:iCs/>
          <w:i/>
        </w:rPr>
        <w:t xml:space="preserve">potential</w:t>
      </w:r>
      <w:r>
        <w:t xml:space="preserve">,</w:t>
      </w:r>
      <w:r>
        <w:t xml:space="preserve"> </w:t>
      </w:r>
      <w:r>
        <w:rPr>
          <w:iCs/>
          <w:i/>
        </w:rPr>
        <w:t xml:space="preserve">indicating</w:t>
      </w:r>
      <w:r>
        <w:t xml:space="preserve">,</w:t>
      </w:r>
      <w:r>
        <w:t xml:space="preserve"> </w:t>
      </w:r>
      <w:r>
        <w:rPr>
          <w:iCs/>
          <w:i/>
        </w:rPr>
        <w:t xml:space="preserve">possibility</w:t>
      </w:r>
      <w:r>
        <w:t xml:space="preserve">—were re-examined under refined rules. Capability</w:t>
      </w:r>
      <w:r>
        <w:t xml:space="preserve"> </w:t>
      </w:r>
      <w:r>
        <w:rPr>
          <w:iCs/>
          <w:i/>
        </w:rPr>
        <w:t xml:space="preserve">can</w:t>
      </w:r>
      <w:r>
        <w:t xml:space="preserve"> </w:t>
      </w:r>
      <w:r>
        <w:t xml:space="preserve">with active treatment verbs was coded FP-Cap. Operational restatements of results (e.g.,</w:t>
      </w:r>
      <w:r>
        <w:t xml:space="preserve"> </w:t>
      </w:r>
      <w:r>
        <w:t xml:space="preserve">“</w:t>
      </w:r>
      <w:r>
        <w:t xml:space="preserve">non-toxic</w:t>
      </w:r>
      <w:r>
        <w:t xml:space="preserve">”</w:t>
      </w:r>
      <w:r>
        <w:t xml:space="preserve"> </w:t>
      </w:r>
      <w:r>
        <w:t xml:space="preserve">from zero mortality) were coded FP-Gen rather than inferential hedges. Topic-naming</w:t>
      </w:r>
      <w:r>
        <w:t xml:space="preserve"> </w:t>
      </w:r>
      <w:r>
        <w:rPr>
          <w:iCs/>
          <w:i/>
        </w:rPr>
        <w:t xml:space="preserve">potential</w:t>
      </w:r>
      <w:r>
        <w:t xml:space="preserve"> </w:t>
      </w:r>
      <w:r>
        <w:t xml:space="preserve">/</w:t>
      </w:r>
      <w:r>
        <w:t xml:space="preserve"> </w:t>
      </w:r>
      <w:r>
        <w:rPr>
          <w:iCs/>
          <w:i/>
        </w:rPr>
        <w:t xml:space="preserve">possibility</w:t>
      </w:r>
      <w:r>
        <w:t xml:space="preserve"> </w:t>
      </w:r>
      <w:r>
        <w:t xml:space="preserve">in aim and methods sentences was excluded; the same forms in results or conclusion sentences qualifying a claim were retained as lexical hedges. Multi-hedge sentences were tested token by token in isolation. The final corpus reflects contextual classification; 63 rejected candidates document the decision trail. Outlier abstract Acs2 (eight hedges) was retained in primary analyses and examined in sensitivity checks.</w:t>
      </w:r>
    </w:p>
    <w:p>
      <w:pPr>
        <w:pStyle w:val="BodyText"/>
      </w:pPr>
      <w:r>
        <w:rPr>
          <w:bCs/>
          <w:b/>
        </w:rPr>
        <w:t xml:space="preserve">RESEARCH CORPUS</w:t>
      </w:r>
    </w:p>
    <w:p>
      <w:pPr>
        <w:pStyle w:val="BodyText"/>
      </w:pPr>
      <w:r>
        <w:t xml:space="preserve">The corpus comprises 60 abstracts (approximately 13,869 words): Agriculture 4,300 words, Biology 4,509 words, Veterinary Medicine 5,060 words. Full coded texts with highlights appear in Appendix D. The codebook is Appendix C; pilot verification is Appendix B.</w:t>
      </w:r>
    </w:p>
    <w:p>
      <w:pPr>
        <w:pStyle w:val="BodyText"/>
      </w:pPr>
      <w:r>
        <w:rPr>
          <w:bCs/>
          <w:b/>
        </w:rPr>
        <w:t xml:space="preserve">RESULTS, ANALYSIS, AND DISCUSSION</w:t>
      </w:r>
    </w:p>
    <w:p>
      <w:pPr>
        <w:pStyle w:val="BodyText"/>
      </w:pPr>
      <w:r>
        <w:t xml:space="preserve">Findings are organized by research question.</w:t>
      </w:r>
    </w:p>
    <w:p>
      <w:pPr>
        <w:pStyle w:val="BodyText"/>
      </w:pPr>
      <w:r>
        <w:rPr>
          <w:bCs/>
          <w:b/>
        </w:rPr>
        <w:t xml:space="preserve">PART I: HEDGE TYPES ACROSS THE THREE DISCIPLINES</w:t>
      </w:r>
    </w:p>
    <w:p>
      <w:pPr>
        <w:pStyle w:val="BodyText"/>
      </w:pPr>
      <w:r>
        <w:t xml:space="preserve">The coding identified 60 hedge tokens. Table 2 shows the type distribution.</w:t>
      </w:r>
    </w:p>
    <w:p>
      <w:pPr>
        <w:pStyle w:val="BodyText"/>
      </w:pPr>
      <w:r>
        <w:rPr>
          <w:bCs/>
          <w:b/>
        </w:rPr>
        <w:t xml:space="preserve">Table 2</w:t>
      </w:r>
    </w:p>
    <w:p>
      <w:pPr>
        <w:pStyle w:val="BodyText"/>
      </w:pPr>
      <w:r>
        <w:rPr>
          <w:iCs/>
          <w:i/>
        </w:rPr>
        <w:t xml:space="preserve">Hedge Type Distribution Across the Corpus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Hedge Type</w:t>
            </w:r>
          </w:p>
        </w:tc>
        <w:tc>
          <w:tcPr/>
          <w:p>
            <w:pPr>
              <w:pStyle w:val="Compact"/>
              <w:jc w:val="left"/>
            </w:pPr>
            <w:r>
              <w:t xml:space="preserve">Count</w:t>
            </w:r>
          </w:p>
        </w:tc>
        <w:tc>
          <w:tcPr/>
          <w:p>
            <w:pPr>
              <w:pStyle w:val="Compact"/>
              <w:jc w:val="left"/>
            </w:pPr>
            <w:r>
              <w:t xml:space="preserve">Percentage</w:t>
            </w:r>
          </w:p>
        </w:tc>
      </w:tr>
      <w:tr>
        <w:tc>
          <w:tcPr/>
          <w:p>
            <w:pPr>
              <w:pStyle w:val="Compact"/>
              <w:jc w:val="left"/>
            </w:pPr>
            <w:r>
              <w:t xml:space="preserve">Modal Verbs</w:t>
            </w:r>
          </w:p>
        </w:tc>
        <w:tc>
          <w:tcPr/>
          <w:p>
            <w:pPr>
              <w:pStyle w:val="Compact"/>
              <w:jc w:val="left"/>
            </w:pPr>
            <w:r>
              <w:t xml:space="preserve">21</w:t>
            </w:r>
          </w:p>
        </w:tc>
        <w:tc>
          <w:tcPr/>
          <w:p>
            <w:pPr>
              <w:pStyle w:val="Compact"/>
              <w:jc w:val="left"/>
            </w:pPr>
            <w:r>
              <w:t xml:space="preserve">35.0%</w:t>
            </w:r>
          </w:p>
        </w:tc>
      </w:tr>
      <w:tr>
        <w:tc>
          <w:tcPr/>
          <w:p>
            <w:pPr>
              <w:pStyle w:val="Compact"/>
              <w:jc w:val="left"/>
            </w:pPr>
            <w:r>
              <w:t xml:space="preserve">Lexical Hedges</w:t>
            </w:r>
          </w:p>
        </w:tc>
        <w:tc>
          <w:tcPr/>
          <w:p>
            <w:pPr>
              <w:pStyle w:val="Compact"/>
              <w:jc w:val="left"/>
            </w:pPr>
            <w:r>
              <w:t xml:space="preserve">36</w:t>
            </w:r>
          </w:p>
        </w:tc>
        <w:tc>
          <w:tcPr/>
          <w:p>
            <w:pPr>
              <w:pStyle w:val="Compact"/>
              <w:jc w:val="left"/>
            </w:pPr>
            <w:r>
              <w:t xml:space="preserve">60.0%</w:t>
            </w:r>
          </w:p>
        </w:tc>
      </w:tr>
      <w:tr>
        <w:tc>
          <w:tcPr/>
          <w:p>
            <w:pPr>
              <w:pStyle w:val="Compact"/>
              <w:jc w:val="left"/>
            </w:pPr>
            <w:r>
              <w:t xml:space="preserve">Adverbial Hedges</w:t>
            </w:r>
          </w:p>
        </w:tc>
        <w:tc>
          <w:tcPr/>
          <w:p>
            <w:pPr>
              <w:pStyle w:val="Compact"/>
              <w:jc w:val="left"/>
            </w:pPr>
            <w:r>
              <w:t xml:space="preserve">3</w:t>
            </w:r>
          </w:p>
        </w:tc>
        <w:tc>
          <w:tcPr/>
          <w:p>
            <w:pPr>
              <w:pStyle w:val="Compact"/>
              <w:jc w:val="left"/>
            </w:pPr>
            <w:r>
              <w:t xml:space="preserve">5.0%</w:t>
            </w:r>
          </w:p>
        </w:tc>
      </w:tr>
      <w:tr>
        <w:tc>
          <w:tcPr/>
          <w:p>
            <w:pPr>
              <w:pStyle w:val="Compact"/>
              <w:jc w:val="left"/>
            </w:pPr>
            <w:r>
              <w:t xml:space="preserve">Clause-Level Hedges</w:t>
            </w:r>
          </w:p>
        </w:tc>
        <w:tc>
          <w:tcPr/>
          <w:p>
            <w:pPr>
              <w:pStyle w:val="Compact"/>
              <w:jc w:val="left"/>
            </w:pPr>
            <w:r>
              <w:t xml:space="preserve">0</w:t>
            </w:r>
          </w:p>
        </w:tc>
        <w:tc>
          <w:tcPr/>
          <w:p>
            <w:pPr>
              <w:pStyle w:val="Compact"/>
              <w:jc w:val="left"/>
            </w:pPr>
            <w:r>
              <w:t xml:space="preserve">0.0%</w:t>
            </w:r>
          </w:p>
        </w:tc>
      </w:tr>
      <w:tr>
        <w:tc>
          <w:tcPr/>
          <w:p>
            <w:pPr>
              <w:pStyle w:val="Compact"/>
              <w:jc w:val="left"/>
            </w:pPr>
            <w:r>
              <w:t xml:space="preserve">Total</w:t>
            </w:r>
          </w:p>
        </w:tc>
        <w:tc>
          <w:tcPr/>
          <w:p>
            <w:pPr>
              <w:pStyle w:val="Compact"/>
              <w:jc w:val="left"/>
            </w:pPr>
            <w:r>
              <w:t xml:space="preserve">60</w:t>
            </w:r>
          </w:p>
        </w:tc>
        <w:tc>
          <w:tcPr/>
          <w:p>
            <w:pPr>
              <w:pStyle w:val="Compact"/>
              <w:jc w:val="left"/>
            </w:pPr>
            <w:r>
              <w:t xml:space="preserve">100.0%</w:t>
            </w:r>
          </w:p>
        </w:tc>
      </w:tr>
    </w:tbl>
    <w:p>
      <w:pPr>
        <w:pStyle w:val="BodyText"/>
      </w:pPr>
      <w:r>
        <w:t xml:space="preserve">Lexical hedges dominate (60.0%), followed by modal verbs (35.0%). No clause-level hedges appear. That order inverts the modal-dominant pattern typical of developing-researcher writing (Khunasathitchai et al., 2025; Wang, 2022). The inversion is driven largely by</w:t>
      </w:r>
      <w:r>
        <w:t xml:space="preserve"> </w:t>
      </w:r>
      <w:r>
        <w:rPr>
          <w:iCs/>
          <w:i/>
        </w:rPr>
        <w:t xml:space="preserve">potential</w:t>
      </w:r>
      <w:r>
        <w:t xml:space="preserve">, which accounts for 14 of 36 lexical tokens (38.9%). Other frequent lexical forms include</w:t>
      </w:r>
      <w:r>
        <w:t xml:space="preserve"> </w:t>
      </w:r>
      <w:r>
        <w:rPr>
          <w:iCs/>
          <w:i/>
        </w:rPr>
        <w:t xml:space="preserve">suggests</w:t>
      </w:r>
      <w:r>
        <w:t xml:space="preserve"> </w:t>
      </w:r>
      <w:r>
        <w:t xml:space="preserve">(7),</w:t>
      </w:r>
      <w:r>
        <w:t xml:space="preserve"> </w:t>
      </w:r>
      <w:r>
        <w:rPr>
          <w:iCs/>
          <w:i/>
        </w:rPr>
        <w:t xml:space="preserve">indicating</w:t>
      </w:r>
      <w:r>
        <w:t xml:space="preserve"> </w:t>
      </w:r>
      <w:r>
        <w:t xml:space="preserve">(6), and</w:t>
      </w:r>
      <w:r>
        <w:t xml:space="preserve"> </w:t>
      </w:r>
      <w:r>
        <w:rPr>
          <w:iCs/>
          <w:i/>
        </w:rPr>
        <w:t xml:space="preserve">suggesting</w:t>
      </w:r>
      <w:r>
        <w:t xml:space="preserve"> </w:t>
      </w:r>
      <w:r>
        <w:t xml:space="preserve">(3). Among modals,</w:t>
      </w:r>
      <w:r>
        <w:t xml:space="preserve"> </w:t>
      </w:r>
      <w:r>
        <w:rPr>
          <w:iCs/>
          <w:i/>
        </w:rPr>
        <w:t xml:space="preserve">can</w:t>
      </w:r>
      <w:r>
        <w:t xml:space="preserve"> </w:t>
      </w:r>
      <w:r>
        <w:t xml:space="preserve">(9, mainly in inferential frames such as</w:t>
      </w:r>
      <w:r>
        <w:t xml:space="preserve"> </w:t>
      </w:r>
      <w:r>
        <w:t xml:space="preserve">“</w:t>
      </w:r>
      <w:r>
        <w:t xml:space="preserve">can be stated</w:t>
      </w:r>
      <w:r>
        <w:t xml:space="preserve">”</w:t>
      </w:r>
      <w:r>
        <w:t xml:space="preserve">),</w:t>
      </w:r>
      <w:r>
        <w:t xml:space="preserve"> </w:t>
      </w:r>
      <w:r>
        <w:rPr>
          <w:iCs/>
          <w:i/>
        </w:rPr>
        <w:t xml:space="preserve">could</w:t>
      </w:r>
      <w:r>
        <w:t xml:space="preserve"> </w:t>
      </w:r>
      <w:r>
        <w:t xml:space="preserve">(7), and</w:t>
      </w:r>
      <w:r>
        <w:t xml:space="preserve"> </w:t>
      </w:r>
      <w:r>
        <w:rPr>
          <w:iCs/>
          <w:i/>
        </w:rPr>
        <w:t xml:space="preserve">may</w:t>
      </w:r>
      <w:r>
        <w:t xml:space="preserve"> </w:t>
      </w:r>
      <w:r>
        <w:t xml:space="preserve">(6) lead.</w:t>
      </w:r>
    </w:p>
    <w:p>
      <w:pPr>
        <w:pStyle w:val="BodyText"/>
      </w:pPr>
      <w:r>
        <w:t xml:space="preserve">Concordance of the 14</w:t>
      </w:r>
      <w:r>
        <w:t xml:space="preserve"> </w:t>
      </w:r>
      <w:r>
        <w:rPr>
          <w:iCs/>
          <w:i/>
        </w:rPr>
        <w:t xml:space="preserve">potential</w:t>
      </w:r>
      <w:r>
        <w:t xml:space="preserve"> </w:t>
      </w:r>
      <w:r>
        <w:t xml:space="preserve">tokens shows recurring frames—</w:t>
      </w:r>
      <w:r>
        <w:t xml:space="preserve">“</w:t>
      </w:r>
      <w:r>
        <w:t xml:space="preserve">the potential of X as a Y,</w:t>
      </w:r>
      <w:r>
        <w:t xml:space="preserve">”</w:t>
      </w:r>
      <w:r>
        <w:t xml:space="preserve"> </w:t>
      </w:r>
      <w:r>
        <w:t xml:space="preserve">“</w:t>
      </w:r>
      <w:r>
        <w:t xml:space="preserve">has potential as an X,</w:t>
      </w:r>
      <w:r>
        <w:t xml:space="preserve">”</w:t>
      </w:r>
      <w:r>
        <w:t xml:space="preserve"> </w:t>
      </w:r>
      <w:r>
        <w:t xml:space="preserve">“</w:t>
      </w:r>
      <w:r>
        <w:t xml:space="preserve">highlight their potential as X</w:t>
      </w:r>
      <w:r>
        <w:t xml:space="preserve">”</w:t>
      </w:r>
      <w:r>
        <w:t xml:space="preserve">—often in implication or application sentences rather than in the direct reporting of results. The form may function partly as a learned formula, not only as a calibrated epistemic choice.</w:t>
      </w:r>
    </w:p>
    <w:p>
      <w:pPr>
        <w:pStyle w:val="BodyText"/>
      </w:pPr>
      <w:r>
        <w:t xml:space="preserve">Sixty-three false positives were excluded: FP-Gen 38 (including topic-naming</w:t>
      </w:r>
      <w:r>
        <w:t xml:space="preserve"> </w:t>
      </w:r>
      <w:r>
        <w:rPr>
          <w:iCs/>
          <w:i/>
        </w:rPr>
        <w:t xml:space="preserve">potential</w:t>
      </w:r>
      <w:r>
        <w:t xml:space="preserve">), FP-Rec 15, FP-Cap 8, FP-Proc 2. Biology contributed a high share of FP-Gen, reflecting frequent aim-statement</w:t>
      </w:r>
      <w:r>
        <w:t xml:space="preserve"> </w:t>
      </w:r>
      <w:r>
        <w:rPr>
          <w:iCs/>
          <w:i/>
        </w:rPr>
        <w:t xml:space="preserve">potential</w:t>
      </w:r>
      <w:r>
        <w:t xml:space="preserve"> </w:t>
      </w:r>
      <w:r>
        <w:t xml:space="preserve">that names a research object rather than qualifies a claim.</w:t>
      </w:r>
    </w:p>
    <w:p>
      <w:pPr>
        <w:pStyle w:val="BodyText"/>
      </w:pPr>
      <w:r>
        <w:rPr>
          <w:bCs/>
          <w:b/>
        </w:rPr>
        <w:t xml:space="preserve">PART II: HEDGE FREQUENCY ACROSS DISCIPLINES</w:t>
      </w:r>
    </w:p>
    <w:p>
      <w:pPr>
        <w:pStyle w:val="BodyText"/>
      </w:pPr>
      <w:r>
        <w:t xml:space="preserve">Table 4 summarizes counts and density.</w:t>
      </w:r>
    </w:p>
    <w:p>
      <w:pPr>
        <w:pStyle w:val="BodyText"/>
      </w:pPr>
      <w:r>
        <w:rPr>
          <w:bCs/>
          <w:b/>
        </w:rPr>
        <w:t xml:space="preserve">Table 4</w:t>
      </w:r>
    </w:p>
    <w:p>
      <w:pPr>
        <w:pStyle w:val="BodyText"/>
      </w:pPr>
      <w:r>
        <w:rPr>
          <w:iCs/>
          <w:i/>
        </w:rPr>
        <w:t xml:space="preserve">Hedge Frequency by Discipline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Discipline</w:t>
            </w:r>
          </w:p>
        </w:tc>
        <w:tc>
          <w:tcPr/>
          <w:p>
            <w:pPr>
              <w:pStyle w:val="Compact"/>
              <w:jc w:val="left"/>
            </w:pPr>
            <w:r>
              <w:t xml:space="preserve">Hedges</w:t>
            </w:r>
          </w:p>
        </w:tc>
        <w:tc>
          <w:tcPr/>
          <w:p>
            <w:pPr>
              <w:pStyle w:val="Compact"/>
              <w:jc w:val="left"/>
            </w:pPr>
            <w:r>
              <w:t xml:space="preserve">Words</w:t>
            </w:r>
          </w:p>
        </w:tc>
        <w:tc>
          <w:tcPr/>
          <w:p>
            <w:pPr>
              <w:pStyle w:val="Compact"/>
              <w:jc w:val="left"/>
            </w:pPr>
            <w:r>
              <w:t xml:space="preserve">Density (per 100 words)</w:t>
            </w:r>
          </w:p>
        </w:tc>
        <w:tc>
          <w:tcPr/>
          <w:p>
            <w:pPr>
              <w:pStyle w:val="Compact"/>
              <w:jc w:val="left"/>
            </w:pPr>
            <w:r>
              <w:t xml:space="preserve">Zero-hedge abstracts</w:t>
            </w:r>
          </w:p>
        </w:tc>
      </w:tr>
      <w:tr>
        <w:tc>
          <w:tcPr/>
          <w:p>
            <w:pPr>
              <w:pStyle w:val="Compact"/>
              <w:jc w:val="left"/>
            </w:pPr>
            <w:r>
              <w:t xml:space="preserve">Agriculture</w:t>
            </w:r>
          </w:p>
        </w:tc>
        <w:tc>
          <w:tcPr/>
          <w:p>
            <w:pPr>
              <w:pStyle w:val="Compact"/>
              <w:jc w:val="left"/>
            </w:pPr>
            <w:r>
              <w:t xml:space="preserve">26</w:t>
            </w:r>
          </w:p>
        </w:tc>
        <w:tc>
          <w:tcPr/>
          <w:p>
            <w:pPr>
              <w:pStyle w:val="Compact"/>
              <w:jc w:val="left"/>
            </w:pPr>
            <w:r>
              <w:t xml:space="preserve">4,300</w:t>
            </w:r>
          </w:p>
        </w:tc>
        <w:tc>
          <w:tcPr/>
          <w:p>
            <w:pPr>
              <w:pStyle w:val="Compact"/>
              <w:jc w:val="left"/>
            </w:pPr>
            <w:r>
              <w:t xml:space="preserve">0.60</w:t>
            </w:r>
          </w:p>
        </w:tc>
        <w:tc>
          <w:tcPr/>
          <w:p>
            <w:pPr>
              <w:pStyle w:val="Compact"/>
              <w:jc w:val="left"/>
            </w:pPr>
            <w:r>
              <w:t xml:space="preserve">8 (40%)</w:t>
            </w:r>
          </w:p>
        </w:tc>
      </w:tr>
      <w:tr>
        <w:tc>
          <w:tcPr/>
          <w:p>
            <w:pPr>
              <w:pStyle w:val="Compact"/>
              <w:jc w:val="left"/>
            </w:pPr>
            <w:r>
              <w:t xml:space="preserve">Biology</w:t>
            </w:r>
          </w:p>
        </w:tc>
        <w:tc>
          <w:tcPr/>
          <w:p>
            <w:pPr>
              <w:pStyle w:val="Compact"/>
              <w:jc w:val="left"/>
            </w:pPr>
            <w:r>
              <w:t xml:space="preserve">25</w:t>
            </w:r>
          </w:p>
        </w:tc>
        <w:tc>
          <w:tcPr/>
          <w:p>
            <w:pPr>
              <w:pStyle w:val="Compact"/>
              <w:jc w:val="left"/>
            </w:pPr>
            <w:r>
              <w:t xml:space="preserve">4,509</w:t>
            </w:r>
          </w:p>
        </w:tc>
        <w:tc>
          <w:tcPr/>
          <w:p>
            <w:pPr>
              <w:pStyle w:val="Compact"/>
              <w:jc w:val="left"/>
            </w:pPr>
            <w:r>
              <w:t xml:space="preserve">0.55</w:t>
            </w:r>
          </w:p>
        </w:tc>
        <w:tc>
          <w:tcPr/>
          <w:p>
            <w:pPr>
              <w:pStyle w:val="Compact"/>
              <w:jc w:val="left"/>
            </w:pPr>
            <w:r>
              <w:t xml:space="preserve">7 (35%)</w:t>
            </w:r>
          </w:p>
        </w:tc>
      </w:tr>
      <w:tr>
        <w:tc>
          <w:tcPr/>
          <w:p>
            <w:pPr>
              <w:pStyle w:val="Compact"/>
              <w:jc w:val="left"/>
            </w:pPr>
            <w:r>
              <w:t xml:space="preserve">Veterinary Medicine</w:t>
            </w:r>
          </w:p>
        </w:tc>
        <w:tc>
          <w:tcPr/>
          <w:p>
            <w:pPr>
              <w:pStyle w:val="Compact"/>
              <w:jc w:val="left"/>
            </w:pPr>
            <w:r>
              <w:t xml:space="preserve">9</w:t>
            </w:r>
          </w:p>
        </w:tc>
        <w:tc>
          <w:tcPr/>
          <w:p>
            <w:pPr>
              <w:pStyle w:val="Compact"/>
              <w:jc w:val="left"/>
            </w:pPr>
            <w:r>
              <w:t xml:space="preserve">5,060</w:t>
            </w:r>
          </w:p>
        </w:tc>
        <w:tc>
          <w:tcPr/>
          <w:p>
            <w:pPr>
              <w:pStyle w:val="Compact"/>
              <w:jc w:val="left"/>
            </w:pPr>
            <w:r>
              <w:t xml:space="preserve">0.18</w:t>
            </w:r>
          </w:p>
        </w:tc>
        <w:tc>
          <w:tcPr/>
          <w:p>
            <w:pPr>
              <w:pStyle w:val="Compact"/>
              <w:jc w:val="left"/>
            </w:pPr>
            <w:r>
              <w:t xml:space="preserve">13 (65%)</w:t>
            </w:r>
          </w:p>
        </w:tc>
      </w:tr>
      <w:tr>
        <w:tc>
          <w:tcPr/>
          <w:p>
            <w:pPr>
              <w:pStyle w:val="Compact"/>
              <w:jc w:val="left"/>
            </w:pPr>
            <w:r>
              <w:t xml:space="preserve">Corpus</w:t>
            </w:r>
          </w:p>
        </w:tc>
        <w:tc>
          <w:tcPr/>
          <w:p>
            <w:pPr>
              <w:pStyle w:val="Compact"/>
              <w:jc w:val="left"/>
            </w:pPr>
            <w:r>
              <w:t xml:space="preserve">60</w:t>
            </w:r>
          </w:p>
        </w:tc>
        <w:tc>
          <w:tcPr/>
          <w:p>
            <w:pPr>
              <w:pStyle w:val="Compact"/>
              <w:jc w:val="left"/>
            </w:pPr>
            <w:r>
              <w:t xml:space="preserve">13,869</w:t>
            </w:r>
          </w:p>
        </w:tc>
        <w:tc>
          <w:tcPr/>
          <w:p>
            <w:pPr>
              <w:pStyle w:val="Compact"/>
              <w:jc w:val="left"/>
            </w:pPr>
            <w:r>
              <w:t xml:space="preserve">0.43</w:t>
            </w:r>
          </w:p>
        </w:tc>
        <w:tc>
          <w:tcPr/>
          <w:p>
            <w:pPr>
              <w:pStyle w:val="Compact"/>
              <w:jc w:val="left"/>
            </w:pPr>
            <w:r>
              <w:t xml:space="preserve">28 (46.7%)</w:t>
            </w:r>
          </w:p>
        </w:tc>
      </w:tr>
    </w:tbl>
    <w:p>
      <w:pPr>
        <w:pStyle w:val="BodyText"/>
      </w:pPr>
      <w:r>
        <w:t xml:space="preserve">Agriculture shows the highest density; Veterinary Medicine the lowest, at roughly one-third the Agriculture rate. Nearly half of all abstracts contain no coded hedges. Veterinary Medicine accounts for 13 of the 28 zero-hedge abstracts. A chi-square test on the zero-hedge distribution across disciplines was not significant (χ² = 4.15, df = 2, p = .13).</w:t>
      </w:r>
    </w:p>
    <w:p>
      <w:pPr>
        <w:pStyle w:val="BodyText"/>
      </w:pPr>
      <w:r>
        <w:t xml:space="preserve">Per-abstract means: Agriculture 1.30 (median 1, SD 1.84, range 0–8), Biology 1.25 (median 1, SD 1.25, range 0–4), Veterinary Medicine 0.45 (median 0, SD 0.76, range 0–3). Agriculture’s high SD reflects Acs2 (eight hedges). Excluding Acs2, Agriculture density falls to 0.44, below Biology. An exploratory Kruskal-Wallis test on per-abstract counts yielded H = 6.02, p = .049—borderline and sensitive to the zero-inflated distribution and small n.</w:t>
      </w:r>
    </w:p>
    <w:p>
      <w:pPr>
        <w:pStyle w:val="BodyText"/>
      </w:pPr>
      <w:r>
        <w:t xml:space="preserve">These frequencies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 Veterinary Medicine’s low density is driven by its 65% zero-hedge rate.</w:t>
      </w:r>
    </w:p>
    <w:p>
      <w:pPr>
        <w:pStyle w:val="BodyText"/>
      </w:pPr>
      <w:r>
        <w:rPr>
          <w:bCs/>
          <w:b/>
        </w:rPr>
        <w:t xml:space="preserve">PART III: RHETORICAL FUNCTIONS OF HEDGING DEVICES</w:t>
      </w:r>
    </w:p>
    <w:p>
      <w:pPr>
        <w:pStyle w:val="BodyText"/>
      </w:pPr>
      <w:r>
        <w:t xml:space="preserve">All 60 retained hedges were coded as Epistemic Caution. No politeness or discourse-organization functions appear. The uniform assignment may reflect a restricted repertoire, the compressed abstract genre, the coding scheme, or single-rater interpretation; the limitation is noted in Scope. The narrow functional range is consistent with earlier findings on developing L2 writers (Hyland &amp; Milton, 1997).</w:t>
      </w:r>
    </w:p>
    <w:p>
      <w:pPr>
        <w:pStyle w:val="BodyText"/>
      </w:pPr>
      <w:r>
        <w:t xml:space="preserve">Most hedges fall in implication and conclusion sentences rather than in direct results reporting. Forms such as</w:t>
      </w:r>
      <w:r>
        <w:t xml:space="preserve"> </w:t>
      </w:r>
      <w:r>
        <w:rPr>
          <w:iCs/>
          <w:i/>
        </w:rPr>
        <w:t xml:space="preserve">potential</w:t>
      </w:r>
      <w:r>
        <w:t xml:space="preserve"> </w:t>
      </w:r>
      <w:r>
        <w:t xml:space="preserve">and</w:t>
      </w:r>
      <w:r>
        <w:t xml:space="preserve"> </w:t>
      </w:r>
      <w:r>
        <w:rPr>
          <w:iCs/>
          <w:i/>
        </w:rPr>
        <w:t xml:space="preserve">suggests/suggesting</w:t>
      </w:r>
      <w:r>
        <w:t xml:space="preserve"> </w:t>
      </w:r>
      <w:r>
        <w:t xml:space="preserve">typically frame applications or interpretations, while results sentences more often use factive verbs (</w:t>
      </w:r>
      <w:r>
        <w:rPr>
          <w:iCs/>
          <w:i/>
        </w:rPr>
        <w:t xml:space="preserve">showed</w:t>
      </w:r>
      <w:r>
        <w:t xml:space="preserve">,</w:t>
      </w:r>
      <w:r>
        <w:t xml:space="preserve"> </w:t>
      </w:r>
      <w:r>
        <w:rPr>
          <w:iCs/>
          <w:i/>
        </w:rPr>
        <w:t xml:space="preserve">revealed</w:t>
      </w:r>
      <w:r>
        <w:t xml:space="preserve">,</w:t>
      </w:r>
      <w:r>
        <w:t xml:space="preserve"> </w:t>
      </w:r>
      <w:r>
        <w:rPr>
          <w:iCs/>
          <w:i/>
        </w:rPr>
        <w:t xml:space="preserve">demonstrated</w:t>
      </w:r>
      <w:r>
        <w:t xml:space="preserve">) without qualification. That pattern is clearest in Agriculture and weakest in Veterinary Medicine, where both results and implications tend to be stated categorically.</w:t>
      </w:r>
    </w:p>
    <w:p>
      <w:pPr>
        <w:pStyle w:val="BodyText"/>
      </w:pPr>
      <w:r>
        <w:rPr>
          <w:bCs/>
          <w:b/>
        </w:rPr>
        <w:t xml:space="preserve">PART IV: DISCIPLINE-SPECIFIC HEDGING PROFILES</w:t>
      </w:r>
    </w:p>
    <w:p>
      <w:pPr>
        <w:pStyle w:val="BodyText"/>
      </w:pPr>
      <w:r>
        <w:rPr>
          <w:bCs/>
          <w:b/>
        </w:rPr>
        <w:t xml:space="preserve">Agriculture.</w:t>
      </w:r>
      <w:r>
        <w:t xml:space="preserve"> </w:t>
      </w:r>
      <w:r>
        <w:t xml:space="preserve">Highest density (0.60), partly outlier-dependent. Hedges cluster in implication moves: applications are qualified while findings are often stated as settled. Profile: cautious implication.</w:t>
      </w:r>
    </w:p>
    <w:p>
      <w:pPr>
        <w:pStyle w:val="BodyText"/>
      </w:pPr>
      <w:r>
        <w:rPr>
          <w:bCs/>
          <w:b/>
        </w:rPr>
        <w:t xml:space="preserve">Biology.</w:t>
      </w:r>
      <w:r>
        <w:t xml:space="preserve"> </w:t>
      </w:r>
      <w:r>
        <w:t xml:space="preserve">Moderate density (0.55), driven by lexical hedges (17 of 25; 68%). Heavy use of</w:t>
      </w:r>
      <w:r>
        <w:t xml:space="preserve"> </w:t>
      </w:r>
      <w:r>
        <w:rPr>
          <w:iCs/>
          <w:i/>
        </w:rPr>
        <w:t xml:space="preserve">potential</w:t>
      </w:r>
      <w:r>
        <w:t xml:space="preserve"> </w:t>
      </w:r>
      <w:r>
        <w:t xml:space="preserve">and</w:t>
      </w:r>
      <w:r>
        <w:t xml:space="preserve"> </w:t>
      </w:r>
      <w:r>
        <w:rPr>
          <w:iCs/>
          <w:i/>
        </w:rPr>
        <w:t xml:space="preserve">suggesting</w:t>
      </w:r>
      <w:r>
        <w:t xml:space="preserve"> </w:t>
      </w:r>
      <w:r>
        <w:t xml:space="preserve">among coded tokens, alongside frequent topic-naming</w:t>
      </w:r>
      <w:r>
        <w:t xml:space="preserve"> </w:t>
      </w:r>
      <w:r>
        <w:rPr>
          <w:iCs/>
          <w:i/>
        </w:rPr>
        <w:t xml:space="preserve">potential</w:t>
      </w:r>
      <w:r>
        <w:t xml:space="preserve"> </w:t>
      </w:r>
      <w:r>
        <w:t xml:space="preserve">in aim statements (high FP count). Genuine epistemic caution concentrates in conclusion sentences. Profile: lexical caution with topic-naming.</w:t>
      </w:r>
    </w:p>
    <w:p>
      <w:pPr>
        <w:pStyle w:val="BodyText"/>
      </w:pPr>
      <w:r>
        <w:rPr>
          <w:bCs/>
          <w:b/>
        </w:rPr>
        <w:t xml:space="preserve">Veterinary Medicine.</w:t>
      </w:r>
      <w:r>
        <w:t xml:space="preserve"> </w:t>
      </w:r>
      <w:r>
        <w:t xml:space="preserve">Lowest density (0.18); 65% zero-hedge rate; highest count of unhedged assertion sites. Where hedges appear, they are sparse. Profile: assertive reporting, consistent with binary clinical diagnostic outcomes and/or limited hedging instruction in the program.</w:t>
      </w:r>
    </w:p>
    <w:p>
      <w:pPr>
        <w:pStyle w:val="BodyText"/>
      </w:pPr>
      <w:r>
        <w:t xml:space="preserve">The most defensible contrast is Veterinary Medicine versus the other two. The Agriculture–Biology difference is marginal and partly outlier-driven. Where patterns hold, they fit Salager-Meyer’s (1994) claim-responsibility frame: each field may create distinct demands even at undergraduate level. Generalization beyond this corpus is not warranted.</w:t>
      </w:r>
    </w:p>
    <w:p>
      <w:pPr>
        <w:pStyle w:val="BodyText"/>
      </w:pPr>
      <w:r>
        <w:rPr>
          <w:bCs/>
          <w:b/>
        </w:rPr>
        <w:t xml:space="preserve">Pro forma hedging.</w:t>
      </w:r>
      <w:r>
        <w:t xml:space="preserve"> </w:t>
      </w:r>
      <w:r>
        <w:t xml:space="preserve">Three observations in this corpus support a descriptive label, not a confirmed construct: (1)</w:t>
      </w:r>
      <w:r>
        <w:t xml:space="preserve"> </w:t>
      </w:r>
      <w:r>
        <w:rPr>
          <w:iCs/>
          <w:i/>
        </w:rPr>
        <w:t xml:space="preserve">potential</w:t>
      </w:r>
      <w:r>
        <w:t xml:space="preserve"> </w:t>
      </w:r>
      <w:r>
        <w:t xml:space="preserve">accounts for 38.9% of lexical hedges and recurs in near-identical frames; (2) all retained hedges serve a single function; (3) 46.7% of abstracts contain no hedges at all.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pStyle w:val="BodyText"/>
      </w:pPr>
      <w:r>
        <w:rPr>
          <w:bCs/>
          <w:b/>
        </w:rPr>
        <w:t xml:space="preserve">CONCLUSIONS AND RECOMMENDATIONS</w:t>
      </w:r>
    </w:p>
    <w:p>
      <w:pPr>
        <w:pStyle w:val="BodyText"/>
      </w:pPr>
      <w:r>
        <w:rPr>
          <w:bCs/>
          <w:b/>
        </w:rPr>
        <w:t xml:space="preserve">CONCLUSIONS</w:t>
      </w:r>
    </w:p>
    <w:p>
      <w:pPr>
        <w:pStyle w:val="BodyText"/>
      </w:pPr>
      <w:r>
        <w:t xml:space="preserve">This study mapped hedging in 60 undergraduate thesis abstracts across Agriculture, Veterinary Medicine, and Biology at PSAU. Lexical hedges outnumber modal verbs (60.0% vs 35.0%), inverting the modal-dominant pattern common in developing-researcher studies (Khunasathitchai et al., 2025; Wang, 2022), largely because of formulaic</w:t>
      </w:r>
      <w:r>
        <w:t xml:space="preserve"> </w:t>
      </w:r>
      <w:r>
        <w:rPr>
          <w:iCs/>
          <w:i/>
        </w:rPr>
        <w:t xml:space="preserve">potential</w:t>
      </w:r>
      <w:r>
        <w:t xml:space="preserve">. Density is highest in Agriculture (0.60 per 100 words), then Biology (0.55), then Veterinary Medicine (0.18). Nearly half of abstracts contain no coded hedges; Veterinary Medicine alone accounts for a 65% zero-hedge rate. Every retained hedge serves Epistemic Caution.</w:t>
      </w:r>
    </w:p>
    <w:p>
      <w:pPr>
        <w:pStyle w:val="BodyText"/>
      </w:pPr>
      <w:r>
        <w:t xml:space="preserve">Disciplinary differentiation is present but uneven. Veterinary Medicine’s sparse, assertive profile is the clearest contrast. Agriculture’s edge over Biology is modest and sensitive to a single outlier. The patterns are consistent with field-specific epistemic demands (Salager-Meyer, 1994) operating even among developing writers, but statistical evidence is borderline and the sample is small. The study provides a local baseline, not a general law.</w:t>
      </w:r>
    </w:p>
    <w:p>
      <w:pPr>
        <w:pStyle w:val="BodyText"/>
      </w:pPr>
      <w:r>
        <w:rPr>
          <w:bCs/>
          <w:b/>
        </w:rPr>
        <w:t xml:space="preserve">RECOMMENDATIONS</w:t>
      </w:r>
    </w:p>
    <w:p>
      <w:pPr>
        <w:pStyle w:val="BodyText"/>
      </w:pPr>
      <w:r>
        <w:t xml:space="preserve">Thesis advisers at PSAU should treat hedging as a teachable, discipline-sensitive skill rather than a generic call to</w:t>
      </w:r>
      <w:r>
        <w:t xml:space="preserve"> </w:t>
      </w:r>
      <w:r>
        <w:t xml:space="preserve">“</w:t>
      </w:r>
      <w:r>
        <w:t xml:space="preserve">be cautious.</w:t>
      </w:r>
      <w:r>
        <w:t xml:space="preserve">”</w:t>
      </w:r>
      <w:r>
        <w:t xml:space="preserve"> </w:t>
      </w:r>
      <w:r>
        <w:t xml:space="preserve">Feedback is most needed where zero-hedge rates are highest (Veterinary Medicine in this sample). Instruction should distinguish topic-naming</w:t>
      </w:r>
      <w:r>
        <w:t xml:space="preserve"> </w:t>
      </w:r>
      <w:r>
        <w:rPr>
          <w:iCs/>
          <w:i/>
        </w:rPr>
        <w:t xml:space="preserve">potential</w:t>
      </w:r>
      <w:r>
        <w:t xml:space="preserve"> </w:t>
      </w:r>
      <w:r>
        <w:t xml:space="preserve">in aim statements from epistemic</w:t>
      </w:r>
      <w:r>
        <w:t xml:space="preserve"> </w:t>
      </w:r>
      <w:r>
        <w:rPr>
          <w:iCs/>
          <w:i/>
        </w:rPr>
        <w:t xml:space="preserve">potential</w:t>
      </w:r>
      <w:r>
        <w:t xml:space="preserve"> </w:t>
      </w:r>
      <w:r>
        <w:t xml:space="preserve">in conclusions, and should expand beyond modal verbs toward adverbial and clause-level options where the genre allows.</w:t>
      </w:r>
    </w:p>
    <w:p>
      <w:pPr>
        <w:pStyle w:val="BodyText"/>
      </w:pPr>
      <w:r>
        <w:t xml:space="preserve">Writing programs can use the codebook’s decision rules (Appendix C) and the Layer 3 unhedged-assertion analysis as practical tools for supervision and for further research.</w:t>
      </w:r>
    </w:p>
    <w:p>
      <w:pPr>
        <w:pStyle w:val="BodyText"/>
      </w:pPr>
      <w:r>
        <w:t xml:space="preserve">Future work should (1) replicate across Philippine state universities and cohorts; (2) measure English proficiency as a separate variable; (3) examine adviser expectations through interviews; (4) add inter-rater coding; and (5) analyze boosters alongside hedges, since zero-hedge abstracts may still assert strongly through other means.</w:t>
      </w:r>
      <w:r>
        <w:t xml:space="preserve"> </w:t>
      </w:r>
      <w:r>
        <w:rPr>
          <w:bCs/>
          <w:b/>
        </w:rPr>
        <w:t xml:space="preserve">REFERENCES</w:t>
      </w:r>
    </w:p>
    <w:p>
      <w:pPr>
        <w:pStyle w:val="BodyText"/>
      </w:pPr>
      <w:r>
        <w:t xml:space="preserve">Afshar, H. S., Moradi, M., &amp; Hamzavi, R. (2014). Frequency and type of</w:t>
      </w:r>
      <w:r>
        <w:t xml:space="preserve"> </w:t>
      </w:r>
      <w:r>
        <w:t xml:space="preserve">hedging devices used in the research articles of humanities, basic</w:t>
      </w:r>
      <w:r>
        <w:t xml:space="preserve"> </w:t>
      </w:r>
      <w:r>
        <w:t xml:space="preserve">sciences and agriculture.</w:t>
      </w:r>
      <w:r>
        <w:t xml:space="preserve"> </w:t>
      </w:r>
      <w:r>
        <w:rPr>
          <w:iCs/>
          <w:i/>
        </w:rPr>
        <w:t xml:space="preserve">Procedia – Social and Behavioral Sciences,</w:t>
      </w:r>
      <w:r>
        <w:rPr>
          <w:iCs/>
          <w:i/>
        </w:rPr>
        <w:t xml:space="preserve"> </w:t>
      </w:r>
      <w:r>
        <w:rPr>
          <w:iCs/>
          <w:i/>
        </w:rPr>
        <w:t xml:space="preserve">136</w:t>
      </w:r>
      <w:r>
        <w:t xml:space="preserve">, 70–74. https://doi.org/10.1016/j.sbspro.2014.05.290</w:t>
      </w:r>
    </w:p>
    <w:p>
      <w:pPr>
        <w:pStyle w:val="BodyText"/>
      </w:pPr>
      <w:r>
        <w:t xml:space="preserve">Biber, D., Conrad, S., &amp; Reppen, R. (1998).</w:t>
      </w:r>
      <w:r>
        <w:t xml:space="preserve"> </w:t>
      </w:r>
      <w:r>
        <w:rPr>
          <w:iCs/>
          <w:i/>
        </w:rPr>
        <w:t xml:space="preserve">Corpus linguistics:</w:t>
      </w:r>
      <w:r>
        <w:rPr>
          <w:iCs/>
          <w:i/>
        </w:rPr>
        <w:t xml:space="preserve"> </w:t>
      </w:r>
      <w:r>
        <w:rPr>
          <w:iCs/>
          <w:i/>
        </w:rPr>
        <w:t xml:space="preserve">Investigating language structure and use</w:t>
      </w:r>
      <w:r>
        <w:t xml:space="preserve">. Cambridge University Press.</w:t>
      </w:r>
    </w:p>
    <w:p>
      <w:pPr>
        <w:pStyle w:val="BodyText"/>
      </w:pPr>
      <w:r>
        <w:t xml:space="preserve">Demir, C. (2018). Hedging and academic writing: An analysis of lexical</w:t>
      </w:r>
      <w:r>
        <w:t xml:space="preserve"> </w:t>
      </w:r>
      <w:r>
        <w:t xml:space="preserve">hedges.</w:t>
      </w:r>
      <w:r>
        <w:t xml:space="preserve"> </w:t>
      </w:r>
      <w:r>
        <w:rPr>
          <w:iCs/>
          <w:i/>
        </w:rPr>
        <w:t xml:space="preserve">Journal of Language and Linguistic Studies, 14</w:t>
      </w:r>
      <w:r>
        <w:t xml:space="preserve">(4), 74–92.</w:t>
      </w:r>
      <w:r>
        <w:t xml:space="preserve"> </w:t>
      </w:r>
      <w:r>
        <w:t xml:space="preserve">https://files.eric.ed.gov/fulltext/EJ1201945.pdf</w:t>
      </w:r>
    </w:p>
    <w:p>
      <w:pPr>
        <w:pStyle w:val="BodyText"/>
      </w:pPr>
      <w:r>
        <w:t xml:space="preserve">Escalona, S. L. (2025). Hedges and boosters in college essays: A study</w:t>
      </w:r>
      <w:r>
        <w:t xml:space="preserve"> </w:t>
      </w:r>
      <w:r>
        <w:t xml:space="preserve">of linguistic modulation in student writing.</w:t>
      </w:r>
      <w:r>
        <w:t xml:space="preserve"> </w:t>
      </w:r>
      <w:r>
        <w:rPr>
          <w:iCs/>
          <w:i/>
        </w:rPr>
        <w:t xml:space="preserve">International Journal of</w:t>
      </w:r>
      <w:r>
        <w:rPr>
          <w:iCs/>
          <w:i/>
        </w:rPr>
        <w:t xml:space="preserve"> </w:t>
      </w:r>
      <w:r>
        <w:rPr>
          <w:iCs/>
          <w:i/>
        </w:rPr>
        <w:t xml:space="preserve">English Literature and Social Sciences, 10</w:t>
      </w:r>
      <w:r>
        <w:t xml:space="preserve">(1), 7–17.</w:t>
      </w:r>
      <w:r>
        <w:t xml:space="preserve"> </w:t>
      </w:r>
      <w:r>
        <w:t xml:space="preserve">https://doi.org/10.22161/ijels.101.2</w:t>
      </w:r>
    </w:p>
    <w:p>
      <w:pPr>
        <w:pStyle w:val="BodyText"/>
      </w:pPr>
      <w:r>
        <w:t xml:space="preserve">Hamidi, H., Najafi Sarem, S., &amp; Lotfi, A. H. (2025). Exploring hedging</w:t>
      </w:r>
      <w:r>
        <w:t xml:space="preserve"> </w:t>
      </w:r>
      <w:r>
        <w:t xml:space="preserve">devices in scientific research papers: A content analysis study of the</w:t>
      </w:r>
      <w:r>
        <w:t xml:space="preserve"> </w:t>
      </w:r>
      <w:r>
        <w:t xml:space="preserve">“</w:t>
      </w:r>
      <w:r>
        <w:t xml:space="preserve">Medical Journal of the Islamic Republic of Iran.</w:t>
      </w:r>
      <w:r>
        <w:t xml:space="preserve">”</w:t>
      </w:r>
      <w:r>
        <w:t xml:space="preserve"> </w:t>
      </w:r>
      <w:r>
        <w:rPr>
          <w:iCs/>
          <w:i/>
        </w:rPr>
        <w:t xml:space="preserve">Medical Journal of</w:t>
      </w:r>
      <w:r>
        <w:rPr>
          <w:iCs/>
          <w:i/>
        </w:rPr>
        <w:t xml:space="preserve"> </w:t>
      </w:r>
      <w:r>
        <w:rPr>
          <w:iCs/>
          <w:i/>
        </w:rPr>
        <w:t xml:space="preserve">the Islamic Republic of Iran, 39</w:t>
      </w:r>
      <w:r>
        <w:t xml:space="preserve">, 125.</w:t>
      </w:r>
      <w:r>
        <w:t xml:space="preserve"> </w:t>
      </w:r>
      <w:r>
        <w:t xml:space="preserve">https://pmc.ncbi.nlm.nih.gov/articles/PMC12584097/</w:t>
      </w:r>
    </w:p>
    <w:p>
      <w:pPr>
        <w:pStyle w:val="BodyText"/>
      </w:pPr>
      <w:r>
        <w:t xml:space="preserve">Hyland, K. (1998).</w:t>
      </w:r>
      <w:r>
        <w:t xml:space="preserve"> </w:t>
      </w:r>
      <w:r>
        <w:rPr>
          <w:iCs/>
          <w:i/>
        </w:rPr>
        <w:t xml:space="preserve">Hedging in scientific research articles</w:t>
      </w:r>
      <w:r>
        <w:t xml:space="preserve">. John</w:t>
      </w:r>
      <w:r>
        <w:t xml:space="preserve"> </w:t>
      </w:r>
      <w:r>
        <w:t xml:space="preserve">Benjamins Publishing.</w:t>
      </w:r>
    </w:p>
    <w:p>
      <w:pPr>
        <w:pStyle w:val="BodyText"/>
      </w:pPr>
      <w:r>
        <w:t xml:space="preserve">Hyland, K. (2005). Stance and engagement: A model of interaction in</w:t>
      </w:r>
      <w:r>
        <w:t xml:space="preserve"> </w:t>
      </w:r>
      <w:r>
        <w:t xml:space="preserve">academic discourse.</w:t>
      </w:r>
      <w:r>
        <w:t xml:space="preserve"> </w:t>
      </w:r>
      <w:r>
        <w:rPr>
          <w:iCs/>
          <w:i/>
        </w:rPr>
        <w:t xml:space="preserve">Discourse Studies, 7</w:t>
      </w:r>
      <w:r>
        <w:t xml:space="preserve">(2), 173–192.</w:t>
      </w:r>
      <w:r>
        <w:t xml:space="preserve"> </w:t>
      </w:r>
      <w:r>
        <w:t xml:space="preserve">https://doi.org/10.1177/1461445605050365</w:t>
      </w:r>
    </w:p>
    <w:p>
      <w:pPr>
        <w:pStyle w:val="BodyText"/>
      </w:pPr>
      <w:r>
        <w:t xml:space="preserve">Hyland, K., &amp; Milton, J. (1997). Qualification and certainty in L1 and</w:t>
      </w:r>
      <w:r>
        <w:t xml:space="preserve"> </w:t>
      </w:r>
      <w:r>
        <w:t xml:space="preserve">L2 students’ writing.</w:t>
      </w:r>
      <w:r>
        <w:t xml:space="preserve"> </w:t>
      </w:r>
      <w:r>
        <w:rPr>
          <w:iCs/>
          <w:i/>
        </w:rPr>
        <w:t xml:space="preserve">Journal of Second Language Writing, 6</w:t>
      </w:r>
      <w:r>
        <w:t xml:space="preserve">(2),</w:t>
      </w:r>
      <w:r>
        <w:t xml:space="preserve"> </w:t>
      </w:r>
      <w:r>
        <w:t xml:space="preserve">183–205. https://doi.org/10.1016/S1060-3743(97)90033-3</w:t>
      </w:r>
    </w:p>
    <w:p>
      <w:pPr>
        <w:pStyle w:val="BodyText"/>
      </w:pPr>
      <w:r>
        <w:t xml:space="preserve">Imataki, N., &amp; Kobayashi, Y. (2024). Analyzing disciplinary variation in</w:t>
      </w:r>
      <w:r>
        <w:t xml:space="preserve"> </w:t>
      </w:r>
      <w:r>
        <w:t xml:space="preserve">abstracts: Linguistic features across scientific and technical fields.</w:t>
      </w:r>
      <w:r>
        <w:t xml:space="preserve"> </w:t>
      </w:r>
      <w:r>
        <w:rPr>
          <w:iCs/>
          <w:i/>
        </w:rPr>
        <w:t xml:space="preserve">Linguistics and Literature Studies, 12</w:t>
      </w:r>
      <w:r>
        <w:t xml:space="preserve">(3), 19–28.</w:t>
      </w:r>
      <w:r>
        <w:t xml:space="preserve"> </w:t>
      </w:r>
      <w:r>
        <w:t xml:space="preserve">https://doi.org/10.13189/lls.2024.120301</w:t>
      </w:r>
    </w:p>
    <w:p>
      <w:pPr>
        <w:pStyle w:val="BodyText"/>
      </w:pPr>
      <w:r>
        <w:t xml:space="preserve">Khunasathitchai, K., Sittironnarit, S., Sinturat, T., &amp; Kumdee, S.</w:t>
      </w:r>
      <w:r>
        <w:t xml:space="preserve"> </w:t>
      </w:r>
      <w:r>
        <w:t xml:space="preserve">(2025). Move analysis and hedge use in the research paper abstracts of</w:t>
      </w:r>
      <w:r>
        <w:t xml:space="preserve"> </w:t>
      </w:r>
      <w:r>
        <w:t xml:space="preserve">Thai EFL English-majored undergraduates.</w:t>
      </w:r>
      <w:r>
        <w:t xml:space="preserve"> </w:t>
      </w:r>
      <w:r>
        <w:rPr>
          <w:iCs/>
          <w:i/>
        </w:rPr>
        <w:t xml:space="preserve">rEFLections, 32</w:t>
      </w:r>
      <w:r>
        <w:t xml:space="preserve">(2), 951–970.</w:t>
      </w:r>
    </w:p>
    <w:p>
      <w:pPr>
        <w:pStyle w:val="BodyText"/>
      </w:pPr>
      <w:r>
        <w:t xml:space="preserve">Lopez, R. M. C., Pedida, J. A., Alzate, L. J. A., &amp; Eustaquio, M. T. L.</w:t>
      </w:r>
      <w:r>
        <w:t xml:space="preserve"> </w:t>
      </w:r>
      <w:r>
        <w:t xml:space="preserve">(2025). Language of caution and certainty: Writing proficiency in hedges</w:t>
      </w:r>
      <w:r>
        <w:t xml:space="preserve"> </w:t>
      </w:r>
      <w:r>
        <w:t xml:space="preserve">and boosters in student essays.</w:t>
      </w:r>
      <w:r>
        <w:t xml:space="preserve"> </w:t>
      </w:r>
      <w:r>
        <w:rPr>
          <w:iCs/>
          <w:i/>
        </w:rPr>
        <w:t xml:space="preserve">International Journal of Research and</w:t>
      </w:r>
      <w:r>
        <w:rPr>
          <w:iCs/>
          <w:i/>
        </w:rPr>
        <w:t xml:space="preserve"> </w:t>
      </w:r>
      <w:r>
        <w:rPr>
          <w:iCs/>
          <w:i/>
        </w:rPr>
        <w:t xml:space="preserve">Innovation in Social Science, 9</w:t>
      </w:r>
      <w:r>
        <w:t xml:space="preserve">(11), 6176–6196.</w:t>
      </w:r>
      <w:r>
        <w:t xml:space="preserve"> </w:t>
      </w:r>
      <w:r>
        <w:t xml:space="preserve">https://doi.org/10.47772/IJRISS.2025.91100485</w:t>
      </w:r>
    </w:p>
    <w:p>
      <w:pPr>
        <w:pStyle w:val="BodyText"/>
      </w:pPr>
      <w:r>
        <w:t xml:space="preserve">Mohammed, S. J. (2011).</w:t>
      </w:r>
      <w:r>
        <w:t xml:space="preserve"> </w:t>
      </w:r>
      <w:r>
        <w:rPr>
          <w:iCs/>
          <w:i/>
        </w:rPr>
        <w:t xml:space="preserve">Lexical hedges: A study of cultural and</w:t>
      </w:r>
      <w:r>
        <w:rPr>
          <w:iCs/>
          <w:i/>
        </w:rPr>
        <w:t xml:space="preserve"> </w:t>
      </w:r>
      <w:r>
        <w:rPr>
          <w:iCs/>
          <w:i/>
        </w:rPr>
        <w:t xml:space="preserve">disciplinary variation in academic research articles</w:t>
      </w:r>
      <w:r>
        <w:t xml:space="preserve"> </w:t>
      </w:r>
      <w:r>
        <w:t xml:space="preserve">[Master’s thesis,</w:t>
      </w:r>
      <w:r>
        <w:t xml:space="preserve"> </w:t>
      </w:r>
      <w:r>
        <w:t xml:space="preserve">Universiti Teknologi MARA]. CORE.</w:t>
      </w:r>
      <w:r>
        <w:t xml:space="preserve"> </w:t>
      </w:r>
      <w:r>
        <w:t xml:space="preserve">https://core.ac.uk/download/78277430.pdf</w:t>
      </w:r>
    </w:p>
    <w:p>
      <w:pPr>
        <w:pStyle w:val="BodyText"/>
      </w:pPr>
      <w:r>
        <w:t xml:space="preserve">Ningrum, S., Puspita, H., &amp; Mulyadi, A. I. (2024). Hedges and boosters</w:t>
      </w:r>
      <w:r>
        <w:t xml:space="preserve"> </w:t>
      </w:r>
      <w:r>
        <w:t xml:space="preserve">in academic writing of ASEAN EFL learners.</w:t>
      </w:r>
      <w:r>
        <w:t xml:space="preserve"> </w:t>
      </w:r>
      <w:r>
        <w:rPr>
          <w:iCs/>
          <w:i/>
        </w:rPr>
        <w:t xml:space="preserve">Journal of English Education</w:t>
      </w:r>
      <w:r>
        <w:rPr>
          <w:iCs/>
          <w:i/>
        </w:rPr>
        <w:t xml:space="preserve"> </w:t>
      </w:r>
      <w:r>
        <w:rPr>
          <w:iCs/>
          <w:i/>
        </w:rPr>
        <w:t xml:space="preserve">and Teaching, 8</w:t>
      </w:r>
      <w:r>
        <w:t xml:space="preserve">(1), 202–218. https://doi.org/10.33369/jeet.8.1.202-218</w:t>
      </w:r>
    </w:p>
    <w:p>
      <w:pPr>
        <w:pStyle w:val="BodyText"/>
      </w:pPr>
      <w:r>
        <w:t xml:space="preserve">Petchkij, W. (2019). Explicit teaching of hedges: Bringing hedging in</w:t>
      </w:r>
      <w:r>
        <w:t xml:space="preserve"> </w:t>
      </w:r>
      <w:r>
        <w:t xml:space="preserve">academic writing into the Thai EFL classroom.</w:t>
      </w:r>
      <w:r>
        <w:t xml:space="preserve"> </w:t>
      </w:r>
      <w:r>
        <w:rPr>
          <w:iCs/>
          <w:i/>
        </w:rPr>
        <w:t xml:space="preserve">Electronic Journal of</w:t>
      </w:r>
      <w:r>
        <w:rPr>
          <w:iCs/>
          <w:i/>
        </w:rPr>
        <w:t xml:space="preserve"> </w:t>
      </w:r>
      <w:r>
        <w:rPr>
          <w:iCs/>
          <w:i/>
        </w:rPr>
        <w:t xml:space="preserve">Foreign Language Teaching, 16(1), 95–113.</w:t>
      </w:r>
      <w:r>
        <w:rPr>
          <w:iCs/>
          <w:i/>
        </w:rPr>
        <w:t xml:space="preserve"> </w:t>
      </w:r>
      <w:r>
        <w:rPr>
          <w:iCs/>
          <w:i/>
        </w:rPr>
        <w:t xml:space="preserve">https://e-flt.nus.edu.sg/wp-content/uploads/2020/09/petchkij.pdf</w:t>
      </w:r>
    </w:p>
    <w:p>
      <w:pPr>
        <w:pStyle w:val="BodyText"/>
      </w:pPr>
      <w:r>
        <w:t xml:space="preserve">Salager-Meyer, F. (1994). Hedges and textual communicative function in</w:t>
      </w:r>
      <w:r>
        <w:t xml:space="preserve"> </w:t>
      </w:r>
      <w:r>
        <w:t xml:space="preserve">medical English written discourse.</w:t>
      </w:r>
      <w:r>
        <w:t xml:space="preserve"> </w:t>
      </w:r>
      <w:r>
        <w:rPr>
          <w:iCs/>
          <w:i/>
        </w:rPr>
        <w:t xml:space="preserve">English for Specific Purposes,</w:t>
      </w:r>
      <w:r>
        <w:rPr>
          <w:iCs/>
          <w:i/>
        </w:rPr>
        <w:t xml:space="preserve"> </w:t>
      </w:r>
      <w:r>
        <w:rPr>
          <w:iCs/>
          <w:i/>
        </w:rPr>
        <w:t xml:space="preserve">13</w:t>
      </w:r>
      <w:r>
        <w:t xml:space="preserve">(2), 149–170. https://doi.org/10.1016/0889-4906(94)90013-2</w:t>
      </w:r>
    </w:p>
    <w:p>
      <w:pPr>
        <w:pStyle w:val="BodyText"/>
      </w:pPr>
      <w:r>
        <w:t xml:space="preserve">Suratno, A., &amp; Aydawati, E. N. (2025). Hedging strategies in non-science</w:t>
      </w:r>
      <w:r>
        <w:t xml:space="preserve"> </w:t>
      </w:r>
      <w:r>
        <w:t xml:space="preserve">theses: A corpus-based analysis of discussion sections.</w:t>
      </w:r>
      <w:r>
        <w:t xml:space="preserve"> </w:t>
      </w:r>
      <w:r>
        <w:rPr>
          <w:iCs/>
          <w:i/>
        </w:rPr>
        <w:t xml:space="preserve">ETERNAL</w:t>
      </w:r>
      <w:r>
        <w:rPr>
          <w:iCs/>
          <w:i/>
        </w:rPr>
        <w:t xml:space="preserve"> </w:t>
      </w:r>
      <w:r>
        <w:rPr>
          <w:iCs/>
          <w:i/>
        </w:rPr>
        <w:t xml:space="preserve">(English Teaching Journal), 16</w:t>
      </w:r>
      <w:r>
        <w:t xml:space="preserve">(1), 37–52.</w:t>
      </w:r>
      <w:r>
        <w:t xml:space="preserve"> </w:t>
      </w:r>
      <w:r>
        <w:t xml:space="preserve">https://journal2.upgris.ac.id/index.php/eternal/article/view/1059</w:t>
      </w:r>
    </w:p>
    <w:p>
      <w:pPr>
        <w:pStyle w:val="BodyText"/>
      </w:pPr>
      <w:r>
        <w:t xml:space="preserve">Villanueva, V. S. (2014). Hedging devices in Philippine newspaper</w:t>
      </w:r>
      <w:r>
        <w:t xml:space="preserve"> </w:t>
      </w:r>
      <w:r>
        <w:t xml:space="preserve">editorials.</w:t>
      </w:r>
      <w:r>
        <w:t xml:space="preserve"> </w:t>
      </w:r>
      <w:r>
        <w:rPr>
          <w:iCs/>
          <w:i/>
        </w:rPr>
        <w:t xml:space="preserve">Asian Journal of English Language Studies, 2</w:t>
      </w:r>
      <w:r>
        <w:t xml:space="preserve">, 103–117.</w:t>
      </w:r>
      <w:r>
        <w:t xml:space="preserve"> </w:t>
      </w:r>
      <w:r>
        <w:t xml:space="preserve">https://doi.org/10.59960/2.a5</w:t>
      </w:r>
    </w:p>
    <w:p>
      <w:pPr>
        <w:pStyle w:val="BodyText"/>
      </w:pPr>
      <w:r>
        <w:t xml:space="preserve">Wang, X. (2022).</w:t>
      </w:r>
      <w:r>
        <w:t xml:space="preserve"> </w:t>
      </w:r>
      <w:r>
        <w:rPr>
          <w:iCs/>
          <w:i/>
        </w:rPr>
        <w:t xml:space="preserve">Hedging in academic writing: Cross-disciplinary</w:t>
      </w:r>
      <w:r>
        <w:rPr>
          <w:iCs/>
          <w:i/>
        </w:rPr>
        <w:t xml:space="preserve"> </w:t>
      </w:r>
      <w:r>
        <w:rPr>
          <w:iCs/>
          <w:i/>
        </w:rPr>
        <w:t xml:space="preserve">comparisons in the Michigan Corpus of Upper-Level Student Papers</w:t>
      </w:r>
      <w:r>
        <w:rPr>
          <w:iCs/>
          <w:i/>
        </w:rPr>
        <w:t xml:space="preserve"> </w:t>
      </w:r>
      <w:r>
        <w:rPr>
          <w:iCs/>
          <w:i/>
        </w:rPr>
        <w:t xml:space="preserve">(MICUSP)</w:t>
      </w:r>
      <w:r>
        <w:t xml:space="preserve"> </w:t>
      </w:r>
      <w:r>
        <w:t xml:space="preserve">[Preprint]. OSF Preprints.</w:t>
      </w:r>
      <w:r>
        <w:t xml:space="preserve"> </w:t>
      </w:r>
      <w:r>
        <w:t xml:space="preserve">https://osf.io/preprints/edarxiv/5xj27</w:t>
      </w:r>
    </w:p>
    <w:p>
      <w:pPr>
        <w:pStyle w:val="BodyText"/>
      </w:pPr>
      <w:r>
        <w:rPr>
          <w:bCs/>
          <w:b/>
        </w:rPr>
        <w:t xml:space="preserve">APPENDICES</w:t>
      </w:r>
    </w:p>
    <w:p>
      <w:pPr>
        <w:pStyle w:val="BodyText"/>
      </w:pPr>
      <w:r>
        <w:rPr>
          <w:bCs/>
          <w:b/>
        </w:rPr>
        <w:t xml:space="preserve">APPENDIX A: CODING KEY FOR HEDGE IDENTIFICATION</w:t>
      </w:r>
    </w:p>
    <w:p>
      <w:pPr>
        <w:pStyle w:val="BodyText"/>
      </w:pPr>
      <w:r>
        <w:t xml:space="preserve">A coding key based on Hyland’s (1998) framework was developed to</w:t>
      </w:r>
      <w:r>
        <w:t xml:space="preserve"> </w:t>
      </w:r>
      <w:r>
        <w:t xml:space="preserve">classify hedges by type and function. All coding is context-sensitive.</w:t>
      </w:r>
      <w:r>
        <w:t xml:space="preserve"> </w:t>
      </w:r>
      <w:r>
        <w:t xml:space="preserve">Devices are classified based on their function in the sentence in which</w:t>
      </w:r>
      <w:r>
        <w:t xml:space="preserve"> </w:t>
      </w:r>
      <w:r>
        <w:t xml:space="preserve">they appear, not on their presence in isolation.</w:t>
      </w:r>
    </w:p>
    <w:p>
      <w:pPr>
        <w:pStyle w:val="BodyText"/>
      </w:pPr>
      <w:r>
        <w:rPr>
          <w:iCs/>
          <w:i/>
        </w:rPr>
        <w:t xml:space="preserve">Hedge Types</w:t>
      </w:r>
    </w:p>
    <w:p>
      <w:pPr>
        <w:pStyle w:val="BodyText"/>
      </w:pPr>
      <w:r>
        <w:t xml:space="preserve">1. Modal Verbs: may, might, could, would, should, can</w:t>
      </w:r>
    </w:p>
    <w:p>
      <w:pPr>
        <w:pStyle w:val="BodyText"/>
      </w:pPr>
      <w:r>
        <w:t xml:space="preserve">2. Lexical Verbs and Adjectives: suggest, indicate, appear, seem,</w:t>
      </w:r>
      <w:r>
        <w:t xml:space="preserve"> </w:t>
      </w:r>
      <w:r>
        <w:t xml:space="preserve">propose, assume, possible, probable, likely. Other epistemic adjectives</w:t>
      </w:r>
      <w:r>
        <w:t xml:space="preserve"> </w:t>
      </w:r>
      <w:r>
        <w:t xml:space="preserve">(e.g., potential, conceivable, tentative) are also coded as lexical</w:t>
      </w:r>
      <w:r>
        <w:t xml:space="preserve"> </w:t>
      </w:r>
      <w:r>
        <w:t xml:space="preserve">hedges if they qualify the certainty of a claim and pass the working</w:t>
      </w:r>
      <w:r>
        <w:t xml:space="preserve"> </w:t>
      </w:r>
      <w:r>
        <w:t xml:space="preserve">test.</w:t>
      </w:r>
    </w:p>
    <w:p>
      <w:pPr>
        <w:pStyle w:val="BodyText"/>
      </w:pPr>
      <w:r>
        <w:t xml:space="preserve">3. Adverbial Hedges: generally, typically, possibly, probably,</w:t>
      </w:r>
      <w:r>
        <w:t xml:space="preserve"> </w:t>
      </w:r>
      <w:r>
        <w:t xml:space="preserve">relatively, essentially</w:t>
      </w:r>
    </w:p>
    <w:p>
      <w:pPr>
        <w:pStyle w:val="BodyText"/>
      </w:pPr>
      <w:r>
        <w:t xml:space="preserve">4. Clause-Level Hedges: it seems that, it is possible that, to some</w:t>
      </w:r>
      <w:r>
        <w:t xml:space="preserve"> </w:t>
      </w:r>
      <w:r>
        <w:t xml:space="preserve">extent, in our view</w:t>
      </w:r>
    </w:p>
    <w:p>
      <w:pPr>
        <w:pStyle w:val="BodyText"/>
      </w:pPr>
      <w:r>
        <w:rPr>
          <w:iCs/>
          <w:i/>
        </w:rPr>
        <w:t xml:space="preserve">Hedge Functions</w:t>
      </w:r>
    </w:p>
    <w:p>
      <w:pPr>
        <w:pStyle w:val="BodyText"/>
      </w:pPr>
      <w:r>
        <w:rPr>
          <w:bCs/>
          <w:b/>
        </w:rPr>
        <w:t xml:space="preserve">Epistemic Caution:</w:t>
      </w:r>
      <w:r>
        <w:t xml:space="preserve"> </w:t>
      </w:r>
      <w:r>
        <w:t xml:space="preserve">Expresses uncertainty about the truth or accuracy</w:t>
      </w:r>
      <w:r>
        <w:t xml:space="preserve"> </w:t>
      </w:r>
      <w:r>
        <w:t xml:space="preserve">of a claim (e.g., The treatment may reduce infection rates).</w:t>
      </w:r>
    </w:p>
    <w:p>
      <w:pPr>
        <w:pStyle w:val="BodyText"/>
      </w:pPr>
      <w:r>
        <w:rPr>
          <w:bCs/>
          <w:b/>
        </w:rPr>
        <w:t xml:space="preserve">Politeness/Deference:</w:t>
      </w:r>
      <w:r>
        <w:t xml:space="preserve"> </w:t>
      </w:r>
      <w:r>
        <w:t xml:space="preserve">Shows respect toward readers or prior research</w:t>
      </w:r>
      <w:r>
        <w:t xml:space="preserve"> </w:t>
      </w:r>
      <w:r>
        <w:t xml:space="preserve">rather than expressing genuine epistemic uncertainty (e.g., As suggested</w:t>
      </w:r>
      <w:r>
        <w:t xml:space="preserve"> </w:t>
      </w:r>
      <w:r>
        <w:t xml:space="preserve">by Hyland (1998)...).</w:t>
      </w:r>
    </w:p>
    <w:p>
      <w:pPr>
        <w:pStyle w:val="BodyText"/>
      </w:pPr>
      <w:r>
        <w:rPr>
          <w:bCs/>
          <w:b/>
        </w:rPr>
        <w:t xml:space="preserve">Discourse Organization:</w:t>
      </w:r>
      <w:r>
        <w:t xml:space="preserve"> </w:t>
      </w:r>
      <w:r>
        <w:t xml:space="preserve">Manages text structure or guides reader</w:t>
      </w:r>
      <w:r>
        <w:t xml:space="preserve"> </w:t>
      </w:r>
      <w:r>
        <w:t xml:space="preserve">expectations rather than expressing the writer’s epistemic stance (e.g.,</w:t>
      </w:r>
      <w:r>
        <w:t xml:space="preserve"> </w:t>
      </w:r>
      <w:r>
        <w:t xml:space="preserve">It should be noted that...).</w:t>
      </w:r>
    </w:p>
    <w:p>
      <w:pPr>
        <w:pStyle w:val="BodyText"/>
      </w:pPr>
      <w:r>
        <w:rPr>
          <w:iCs/>
          <w:i/>
        </w:rPr>
        <w:t xml:space="preserve">Decision Rules for Ambiguous Cases</w:t>
      </w:r>
    </w:p>
    <w:p>
      <w:pPr>
        <w:pStyle w:val="BodyText"/>
      </w:pPr>
      <w:r>
        <w:rPr>
          <w:bCs/>
          <w:b/>
        </w:rPr>
        <w:t xml:space="preserve">• Suggest / Indicate:</w:t>
      </w:r>
      <w:r>
        <w:t xml:space="preserve"> </w:t>
      </w:r>
      <w:r>
        <w:t xml:space="preserve">Coded as Hedge if introducing a finding or</w:t>
      </w:r>
      <w:r>
        <w:t xml:space="preserve"> </w:t>
      </w:r>
      <w:r>
        <w:t xml:space="preserve">result (e.g., Data suggests a significant correlation). NOT coded as a</w:t>
      </w:r>
      <w:r>
        <w:t xml:space="preserve"> </w:t>
      </w:r>
      <w:r>
        <w:t xml:space="preserve">hedge if introducing a recommendation (e.g., We suggest further</w:t>
      </w:r>
      <w:r>
        <w:t xml:space="preserve"> </w:t>
      </w:r>
      <w:r>
        <w:t xml:space="preserve">research).</w:t>
      </w:r>
    </w:p>
    <w:p>
      <w:pPr>
        <w:pStyle w:val="BodyText"/>
      </w:pPr>
      <w:r>
        <w:rPr>
          <w:bCs/>
          <w:b/>
        </w:rPr>
        <w:t xml:space="preserve">• Can / May:</w:t>
      </w:r>
      <w:r>
        <w:t xml:space="preserve"> </w:t>
      </w:r>
      <w:r>
        <w:t xml:space="preserve">Coded as Hedge if expressing possibility or uncertainty</w:t>
      </w:r>
      <w:r>
        <w:t xml:space="preserve"> </w:t>
      </w:r>
      <w:r>
        <w:t xml:space="preserve">(e.g., This may indicate disease resistance). NOT coded if expressing</w:t>
      </w:r>
      <w:r>
        <w:t xml:space="preserve"> </w:t>
      </w:r>
      <w:r>
        <w:t xml:space="preserve">capability (e.g., PCR can detect low concentrations).</w:t>
      </w:r>
    </w:p>
    <w:p>
      <w:pPr>
        <w:pStyle w:val="BodyText"/>
      </w:pPr>
      <w:r>
        <w:rPr>
          <w:bCs/>
          <w:b/>
        </w:rPr>
        <w:t xml:space="preserve">• Generally / Typically:</w:t>
      </w:r>
      <w:r>
        <w:t xml:space="preserve"> </w:t>
      </w:r>
      <w:r>
        <w:t xml:space="preserve">Coded as Hedge if qualifying the scope of a</w:t>
      </w:r>
      <w:r>
        <w:t xml:space="preserve"> </w:t>
      </w:r>
      <w:r>
        <w:t xml:space="preserve">claim (e.g., Plants generally respond to drought by...). NOT coded if</w:t>
      </w:r>
      <w:r>
        <w:t xml:space="preserve"> </w:t>
      </w:r>
      <w:r>
        <w:t xml:space="preserve">describing a procedural norm (e.g., Samples were generally stored at</w:t>
      </w:r>
      <w:r>
        <w:t xml:space="preserve"> </w:t>
      </w:r>
      <w:r>
        <w:t xml:space="preserve">4°C).</w:t>
      </w:r>
    </w:p>
    <w:p>
      <w:pPr>
        <w:pStyle w:val="BodyText"/>
      </w:pPr>
      <w:r>
        <w:rPr>
          <w:bCs/>
          <w:b/>
        </w:rPr>
        <w:t xml:space="preserve">• Appear / Seem:</w:t>
      </w:r>
      <w:r>
        <w:t xml:space="preserve"> </w:t>
      </w:r>
      <w:r>
        <w:t xml:space="preserve">Coded as Hedge if expressing uncertainty about a</w:t>
      </w:r>
      <w:r>
        <w:t xml:space="preserve"> </w:t>
      </w:r>
      <w:r>
        <w:t xml:space="preserve">result (e.g., The pathogen appears to be host-specific). NOT coded if</w:t>
      </w:r>
      <w:r>
        <w:t xml:space="preserve"> </w:t>
      </w:r>
      <w:r>
        <w:t xml:space="preserve">indicating physical or textual location (e.g., The results appear in</w:t>
      </w:r>
      <w:r>
        <w:t xml:space="preserve"> </w:t>
      </w:r>
      <w:r>
        <w:t xml:space="preserve">Table 1).</w:t>
      </w:r>
    </w:p>
    <w:p>
      <w:pPr>
        <w:pStyle w:val="BodyText"/>
      </w:pPr>
      <w:r>
        <w:rPr>
          <w:iCs/>
          <w:i/>
        </w:rPr>
        <w:t xml:space="preserve">Exclusion Rules</w:t>
      </w:r>
    </w:p>
    <w:p>
      <w:pPr>
        <w:pStyle w:val="BodyText"/>
      </w:pPr>
      <w:r>
        <w:t xml:space="preserve">Words expressing ability (can = the method is capable of), future</w:t>
      </w:r>
      <w:r>
        <w:t xml:space="preserve"> </w:t>
      </w:r>
      <w:r>
        <w:t xml:space="preserve">procedure (will = the study will do X), or necessity (must, should in</w:t>
      </w:r>
      <w:r>
        <w:t xml:space="preserve"> </w:t>
      </w:r>
      <w:r>
        <w:t xml:space="preserve">procedural contexts) are not coded as hedges. Working test: if removing</w:t>
      </w:r>
      <w:r>
        <w:t xml:space="preserve"> </w:t>
      </w:r>
      <w:r>
        <w:t xml:space="preserve">the device does not change the epistemic weight of the claim, it is not</w:t>
      </w:r>
      <w:r>
        <w:t xml:space="preserve"> </w:t>
      </w:r>
      <w:r>
        <w:t xml:space="preserve">functioning as a hedge.</w:t>
      </w:r>
    </w:p>
    <w:p>
      <w:pPr>
        <w:pStyle w:val="BodyText"/>
      </w:pPr>
      <w:r>
        <w:rPr>
          <w:bCs/>
          <w:b/>
        </w:rPr>
        <w:t xml:space="preserve">APPENDIX B: PILOT SAMPLE ANALYSIS AND CODING VERIFICATION</w:t>
      </w:r>
    </w:p>
    <w:p>
      <w:pPr>
        <w:pStyle w:val="BodyText"/>
      </w:pPr>
      <w:r>
        <w:t xml:space="preserve">This appendix presents the coding results of four abstracts analyzed</w:t>
      </w:r>
      <w:r>
        <w:t xml:space="preserve"> </w:t>
      </w:r>
      <w:r>
        <w:t xml:space="preserve">during the pilot testing phase. Each abstract is presented followed by</w:t>
      </w:r>
      <w:r>
        <w:t xml:space="preserve"> </w:t>
      </w:r>
      <w:r>
        <w:t xml:space="preserve">its coding summary to demonstrate the application of the coding key and</w:t>
      </w:r>
      <w:r>
        <w:t xml:space="preserve"> </w:t>
      </w:r>
      <w:r>
        <w:t xml:space="preserve">decision rules.</w:t>
      </w:r>
    </w:p>
    <w:p>
      <w:pPr>
        <w:pStyle w:val="BodyText"/>
      </w:pPr>
      <w:r>
        <w:rPr>
          <w:iCs/>
          <w:i/>
        </w:rPr>
        <w:t xml:space="preserve">Sample 1: Biology</w:t>
      </w:r>
    </w:p>
    <w:p>
      <w:pPr>
        <w:pStyle w:val="BodyText"/>
      </w:pPr>
      <w:r>
        <w:t xml:space="preserve">A field and laboratory monitoring was conducted at the Bureau of</w:t>
      </w:r>
      <w:r>
        <w:t xml:space="preserve"> </w:t>
      </w:r>
      <w:r>
        <w:t xml:space="preserve">Fisheries and Aquatic Resources Regional Fish Health Laboratory 3 (BFAR</w:t>
      </w:r>
      <w:r>
        <w:t xml:space="preserve"> </w:t>
      </w:r>
      <w:r>
        <w:t xml:space="preserve">RFHL3) and Zambales, Philippines to compare the effectiveness of Nested</w:t>
      </w:r>
      <w:r>
        <w:t xml:space="preserve"> </w:t>
      </w:r>
      <w:r>
        <w:t xml:space="preserve">Polymerase Chain Reaction and Micro-Insulated Isothermal PCR (Pocket) in</w:t>
      </w:r>
      <w:r>
        <w:t xml:space="preserve"> </w:t>
      </w:r>
      <w:r>
        <w:t xml:space="preserve">monitoring Acute Hepatopancreatic Necrosis Disease.</w:t>
      </w:r>
    </w:p>
    <w:p>
      <w:pPr>
        <w:pStyle w:val="BodyText"/>
      </w:pPr>
      <w:r>
        <w:t xml:space="preserve">A total of 33 samples were used in this study to compare the results of</w:t>
      </w:r>
      <w:r>
        <w:t xml:space="preserve"> </w:t>
      </w:r>
      <w:r>
        <w:t xml:space="preserve">Nested Polymerase Chain Reaction and Micro-Insulated Isothermal</w:t>
      </w:r>
      <w:r>
        <w:t xml:space="preserve"> </w:t>
      </w:r>
      <w:r>
        <w:t xml:space="preserve">Polymerase Chain Reaction (POCKIT) in monitoring Acute Hepatopancreatic</w:t>
      </w:r>
      <w:r>
        <w:t xml:space="preserve"> </w:t>
      </w:r>
      <w:r>
        <w:t xml:space="preserve">Necrosis Disease-causing Vibrio parahaemolyticus. The study used</w:t>
      </w:r>
      <w:r>
        <w:t xml:space="preserve"> </w:t>
      </w:r>
      <w:r>
        <w:t xml:space="preserve">collected shrimp samples, pre-detected samples, and positive and</w:t>
      </w:r>
      <w:r>
        <w:t xml:space="preserve"> </w:t>
      </w:r>
      <w:r>
        <w:t xml:space="preserve">negative standards for the detection of Acute Hepatopancreatic Necrosis</w:t>
      </w:r>
      <w:r>
        <w:t xml:space="preserve"> </w:t>
      </w:r>
      <w:r>
        <w:t xml:space="preserve">Disease-causing Vibrio parahaemolyticus on shrimp samples; bacterial</w:t>
      </w:r>
      <w:r>
        <w:t xml:space="preserve"> </w:t>
      </w:r>
      <w:r>
        <w:t xml:space="preserve">culture for vibrio sp. was also conducted as well as dna sequencing for</w:t>
      </w:r>
      <w:r>
        <w:t xml:space="preserve"> </w:t>
      </w:r>
      <w:r>
        <w:t xml:space="preserve">the confirmation of the results. The result showed negative results on</w:t>
      </w:r>
      <w:r>
        <w:t xml:space="preserve"> </w:t>
      </w:r>
      <w:r>
        <w:t xml:space="preserve">all the shrimp samples that led to the conclusion that all shrimp farms</w:t>
      </w:r>
      <w:r>
        <w:t xml:space="preserve"> </w:t>
      </w:r>
      <w:r>
        <w:t xml:space="preserve">were free from Acute Hepatopancreatic Necrosis Disease-causing Vibrio</w:t>
      </w:r>
      <w:r>
        <w:t xml:space="preserve"> </w:t>
      </w:r>
      <w:r>
        <w:t xml:space="preserve">parahaemolyticus.</w:t>
      </w:r>
    </w:p>
    <w:p>
      <w:pPr>
        <w:pStyle w:val="BodyText"/>
      </w:pPr>
      <w:r>
        <w:rPr>
          <w:bCs/>
          <w:b/>
        </w:rPr>
        <w:t xml:space="preserve">Hedge Count: 0</w:t>
      </w:r>
    </w:p>
    <w:p>
      <w:pPr>
        <w:pStyle w:val="BodyText"/>
      </w:pPr>
      <w:r>
        <w:t xml:space="preserve">Analysis: The abstract relies entirely on factive verbs (conducted,</w:t>
      </w:r>
      <w:r>
        <w:t xml:space="preserve"> </w:t>
      </w:r>
      <w:r>
        <w:t xml:space="preserve">showed, led to the conclusion). The final claim is presented as</w:t>
      </w:r>
      <w:r>
        <w:t xml:space="preserve"> </w:t>
      </w:r>
      <w:r>
        <w:t xml:space="preserve">categorical with no qualification.</w:t>
      </w:r>
    </w:p>
    <w:p>
      <w:pPr>
        <w:pStyle w:val="BodyText"/>
      </w:pPr>
      <w:r>
        <w:rPr>
          <w:bCs/>
          <w:b/>
        </w:rPr>
        <w:t xml:space="preserve">Key Excerpt:</w:t>
      </w:r>
      <w:r>
        <w:t xml:space="preserve"> </w:t>
      </w:r>
      <w:r>
        <w:t xml:space="preserve">“</w:t>
      </w:r>
      <w:r>
        <w:t xml:space="preserve">The result showed negative results that led to the</w:t>
      </w:r>
      <w:r>
        <w:t xml:space="preserve"> </w:t>
      </w:r>
      <w:r>
        <w:t xml:space="preserve">conclusion that all shrimp farms were free…</w:t>
      </w:r>
      <w:r>
        <w:t xml:space="preserve">”</w:t>
      </w:r>
    </w:p>
    <w:p>
      <w:pPr>
        <w:pStyle w:val="BodyText"/>
      </w:pPr>
      <w:r>
        <w:rPr>
          <w:iCs/>
          <w:i/>
        </w:rPr>
        <w:t xml:space="preserve">Sample 2: Veterinary Medicine</w:t>
      </w:r>
    </w:p>
    <w:p>
      <w:pPr>
        <w:pStyle w:val="BodyText"/>
      </w:pPr>
      <w:r>
        <w:t xml:space="preserve">The study was conducted to determine and compare the staining effect of</w:t>
      </w:r>
      <w:r>
        <w:t xml:space="preserve"> </w:t>
      </w:r>
      <w:r>
        <w:t xml:space="preserve">C. longa, I. batatas and M. acuminata aqueous extracts for gonad</w:t>
      </w:r>
      <w:r>
        <w:t xml:space="preserve"> </w:t>
      </w:r>
      <w:r>
        <w:t xml:space="preserve">examination of Nile tilapia. Twelve Nile tilapia fingerlings, with</w:t>
      </w:r>
      <w:r>
        <w:t xml:space="preserve"> </w:t>
      </w:r>
      <w:r>
        <w:t xml:space="preserve">approximately two and one-half to four-inch size, were divided into four</w:t>
      </w:r>
      <w:r>
        <w:t xml:space="preserve"> </w:t>
      </w:r>
      <w:r>
        <w:t xml:space="preserve">treatments with three replicates each. Treatment 1 was assigned as the</w:t>
      </w:r>
      <w:r>
        <w:t xml:space="preserve"> </w:t>
      </w:r>
      <w:r>
        <w:t xml:space="preserve">positive control, which were stained with malachite green, while</w:t>
      </w:r>
      <w:r>
        <w:t xml:space="preserve"> </w:t>
      </w:r>
      <w:r>
        <w:t xml:space="preserve">Treatments 2, 3 and 4 were stained with C. longa, I. batatas and M.</w:t>
      </w:r>
      <w:r>
        <w:t xml:space="preserve"> </w:t>
      </w:r>
      <w:r>
        <w:t xml:space="preserve">acuminata extracts, respectively. The prepared slides of stained gonads</w:t>
      </w:r>
      <w:r>
        <w:t xml:space="preserve"> </w:t>
      </w:r>
      <w:r>
        <w:t xml:space="preserve">were randomly distributed on the microscopes using completely randomized</w:t>
      </w:r>
      <w:r>
        <w:t xml:space="preserve"> </w:t>
      </w:r>
      <w:r>
        <w:t xml:space="preserve">design (CRD). Blind examination and evaluation by five faculty members</w:t>
      </w:r>
      <w:r>
        <w:t xml:space="preserve"> </w:t>
      </w:r>
      <w:r>
        <w:t xml:space="preserve">was done on the stained unlabeled tissues under the microscopes. The</w:t>
      </w:r>
      <w:r>
        <w:t xml:space="preserve"> </w:t>
      </w:r>
      <w:r>
        <w:t xml:space="preserve">tissues were evaluated according to five parameters: hue, saturation,</w:t>
      </w:r>
      <w:r>
        <w:t xml:space="preserve"> </w:t>
      </w:r>
      <w:r>
        <w:t xml:space="preserve">contrast, clarity and overall appearance. A scoring scheme was followed,</w:t>
      </w:r>
      <w:r>
        <w:t xml:space="preserve"> </w:t>
      </w:r>
      <w:r>
        <w:t xml:space="preserve">i.e. 1 to 2 – very poor; 3 to 4 – poor; 5 to 6 – average; 7 to 8 –</w:t>
      </w:r>
      <w:r>
        <w:t xml:space="preserve"> </w:t>
      </w:r>
      <w:r>
        <w:t xml:space="preserve">good; and 9 to 10 – excellent. Data gathered were subjected to one-way</w:t>
      </w:r>
      <w:r>
        <w:t xml:space="preserve"> </w:t>
      </w:r>
      <w:r>
        <w:t xml:space="preserve">analysis of variance (ANOVA). The results suggested that C. longa, I.</w:t>
      </w:r>
      <w:r>
        <w:t xml:space="preserve"> </w:t>
      </w:r>
      <w:r>
        <w:t xml:space="preserve">batatas and M. acuminata extracts are potential alternative stains for</w:t>
      </w:r>
      <w:r>
        <w:t xml:space="preserve"> </w:t>
      </w:r>
      <w:r>
        <w:t xml:space="preserve">gonadal examination of Nile tilapia with M. acuminata as the most</w:t>
      </w:r>
      <w:r>
        <w:t xml:space="preserve"> </w:t>
      </w:r>
      <w:r>
        <w:t xml:space="preserve">preferred.</w:t>
      </w:r>
    </w:p>
    <w:p>
      <w:pPr>
        <w:pStyle w:val="BodyText"/>
      </w:pPr>
      <w:r>
        <w:rPr>
          <w:bCs/>
          <w:b/>
        </w:rPr>
        <w:t xml:space="preserve">Hedge Count: 2</w:t>
      </w:r>
    </w:p>
    <w:p>
      <w:pPr>
        <w:pStyle w:val="BodyText"/>
      </w:pPr>
      <w:r>
        <w:t xml:space="preserve">Analysis: This abstract demonstrates awareness of claim management. Both</w:t>
      </w:r>
      <w:r>
        <w:t xml:space="preserve"> </w:t>
      </w:r>
      <w:r>
        <w:t xml:space="preserve">hedges serve to qualify the final conclusion.</w:t>
      </w:r>
    </w:p>
    <w:p>
      <w:pPr>
        <w:pStyle w:val="BodyText"/>
      </w:pPr>
      <w:r>
        <w:rPr>
          <w:bCs/>
          <w:b/>
        </w:rPr>
        <w:t xml:space="preserve">Coded Instances:</w:t>
      </w:r>
    </w:p>
    <w:p>
      <w:pPr>
        <w:pStyle w:val="BodyText"/>
      </w:pPr>
      <w:r>
        <w:t xml:space="preserve">“</w:t>
      </w:r>
      <w:r>
        <w:t xml:space="preserve">The results suggested that...</w:t>
      </w:r>
      <w:r>
        <w:t xml:space="preserve">”</w:t>
      </w:r>
      <w:r>
        <w:t xml:space="preserve"> </w:t>
      </w:r>
      <w:r>
        <w:t xml:space="preserve">(Lexical Verb - Epistemic Caution)</w:t>
      </w:r>
    </w:p>
    <w:p>
      <w:pPr>
        <w:pStyle w:val="BodyText"/>
      </w:pPr>
      <w:r>
        <w:t xml:space="preserve">“</w:t>
      </w:r>
      <w:r>
        <w:t xml:space="preserve">...extracts are potential alternative stains...</w:t>
      </w:r>
      <w:r>
        <w:t xml:space="preserve">”</w:t>
      </w:r>
      <w:r>
        <w:t xml:space="preserve"> </w:t>
      </w:r>
      <w:r>
        <w:t xml:space="preserve">(Lexical Adjective -</w:t>
      </w:r>
      <w:r>
        <w:t xml:space="preserve"> </w:t>
      </w:r>
      <w:r>
        <w:t xml:space="preserve">Epistemic Caution)</w:t>
      </w:r>
    </w:p>
    <w:p>
      <w:pPr>
        <w:pStyle w:val="BodyText"/>
      </w:pPr>
      <w:r>
        <w:rPr>
          <w:bCs/>
          <w:b/>
        </w:rPr>
        <w:t xml:space="preserve">Excluded:</w:t>
      </w:r>
      <w:r>
        <w:t xml:space="preserve"> </w:t>
      </w:r>
      <w:r>
        <w:t xml:space="preserve">“</w:t>
      </w:r>
      <w:r>
        <w:t xml:space="preserve">approximately two and one-half</w:t>
      </w:r>
      <w:r>
        <w:t xml:space="preserve">”</w:t>
      </w:r>
      <w:r>
        <w:t xml:space="preserve"> </w:t>
      </w:r>
      <w:r>
        <w:t xml:space="preserve">(Procedural measurement,</w:t>
      </w:r>
      <w:r>
        <w:t xml:space="preserve"> </w:t>
      </w:r>
      <w:r>
        <w:t xml:space="preserve">not epistemic).</w:t>
      </w:r>
    </w:p>
    <w:p>
      <w:pPr>
        <w:pStyle w:val="BodyText"/>
      </w:pPr>
      <w:r>
        <w:rPr>
          <w:iCs/>
          <w:i/>
        </w:rPr>
        <w:t xml:space="preserve">Sample 3: Agriculture (Animal Science)</w:t>
      </w:r>
    </w:p>
    <w:p>
      <w:pPr>
        <w:pStyle w:val="BodyText"/>
      </w:pPr>
      <w:r>
        <w:t xml:space="preserve">The study was conducted for 7 days from July 07 to July 13, 2022 at</w:t>
      </w:r>
      <w:r>
        <w:t xml:space="preserve"> </w:t>
      </w:r>
      <w:r>
        <w:t xml:space="preserve">Brgy. San Roque, Magalang, Pampanga. The general objective of the study</w:t>
      </w:r>
      <w:r>
        <w:t xml:space="preserve"> </w:t>
      </w:r>
      <w:r>
        <w:t xml:space="preserve">was to determine the acceptability and palatability of duck ham</w:t>
      </w:r>
      <w:r>
        <w:t xml:space="preserve"> </w:t>
      </w:r>
      <w:r>
        <w:t xml:space="preserve">subjected to different curing process. Specifically, it aimed to find</w:t>
      </w:r>
      <w:r>
        <w:t xml:space="preserve"> </w:t>
      </w:r>
      <w:r>
        <w:t xml:space="preserve">the sensory evaluation: appearance; aroma; taste/ flavor; texture; and</w:t>
      </w:r>
      <w:r>
        <w:t xml:space="preserve"> </w:t>
      </w:r>
      <w:r>
        <w:t xml:space="preserve">over-all acceptability. A total of eight (8) Muscovy ducks were used in</w:t>
      </w:r>
      <w:r>
        <w:t xml:space="preserve"> </w:t>
      </w:r>
      <w:r>
        <w:t xml:space="preserve">this study. The study used Hedonic Likert Scale and was subjected to</w:t>
      </w:r>
      <w:r>
        <w:t xml:space="preserve"> </w:t>
      </w:r>
      <w:r>
        <w:t xml:space="preserve">Desriptive analysis. Factor A = Type of curing and Factor B = Spice rub.</w:t>
      </w:r>
      <w:r>
        <w:t xml:space="preserve"> </w:t>
      </w:r>
      <w:r>
        <w:t xml:space="preserve">The treatments used in this study are the following. A₁ B₁ - Dry</w:t>
      </w:r>
      <w:r>
        <w:t xml:space="preserve"> </w:t>
      </w:r>
      <w:r>
        <w:t xml:space="preserve">curing + Oregano, A₁ B₂ - Dry curing + Lemon grass, A₂ B₁ - Liquid</w:t>
      </w:r>
      <w:r>
        <w:t xml:space="preserve"> </w:t>
      </w:r>
      <w:r>
        <w:t xml:space="preserve">curing + Oregano and A₁ B₂ - Liquid curing + Lemon grass. The sensory</w:t>
      </w:r>
      <w:r>
        <w:t xml:space="preserve"> </w:t>
      </w:r>
      <w:r>
        <w:t xml:space="preserve">evaluation was conducted at Pampanga State Agricultural University, PAC,</w:t>
      </w:r>
      <w:r>
        <w:t xml:space="preserve"> </w:t>
      </w:r>
      <w:r>
        <w:t xml:space="preserve">Magalang, Pampanga. Ten (10) college students, ten (10) teachers and ten</w:t>
      </w:r>
      <w:r>
        <w:t xml:space="preserve"> </w:t>
      </w:r>
      <w:r>
        <w:t xml:space="preserve">(10) people who don’t eat duck were selected as respondents to evaluate</w:t>
      </w:r>
      <w:r>
        <w:t xml:space="preserve"> </w:t>
      </w:r>
      <w:r>
        <w:t xml:space="preserve">the sample treatments. The data collected from the sensory evaluation</w:t>
      </w:r>
      <w:r>
        <w:t xml:space="preserve"> </w:t>
      </w:r>
      <w:r>
        <w:t xml:space="preserve">were analysed using descriptive statistics.</w:t>
      </w:r>
    </w:p>
    <w:p>
      <w:pPr>
        <w:pStyle w:val="BodyText"/>
      </w:pPr>
      <w:r>
        <w:t xml:space="preserve">Results of the study showed that Comparison on Curing Methods Using</w:t>
      </w:r>
      <w:r>
        <w:t xml:space="preserve"> </w:t>
      </w:r>
      <w:r>
        <w:t xml:space="preserve">Oregano - dry cured duck ham had the highest rating with regards to</w:t>
      </w:r>
      <w:r>
        <w:t xml:space="preserve"> </w:t>
      </w:r>
      <w:r>
        <w:t xml:space="preserve">appearance, texture and overall acceptability. While liquid cure duck</w:t>
      </w:r>
      <w:r>
        <w:t xml:space="preserve"> </w:t>
      </w:r>
      <w:r>
        <w:t xml:space="preserve">ham got the highest rating in terms of aroma and taste/flavor.</w:t>
      </w:r>
      <w:r>
        <w:t xml:space="preserve"> </w:t>
      </w:r>
      <w:r>
        <w:t xml:space="preserve">Comparison on Curing Methods Using Lemon Grass - liquid cured duck ham</w:t>
      </w:r>
      <w:r>
        <w:t xml:space="preserve"> </w:t>
      </w:r>
      <w:r>
        <w:t xml:space="preserve">had the highest rating in terms to appearance, aroma, taste/flavor,</w:t>
      </w:r>
      <w:r>
        <w:t xml:space="preserve"> </w:t>
      </w:r>
      <w:r>
        <w:t xml:space="preserve">texture and overall acceptability. Comparison of Spices on Dry Curing</w:t>
      </w:r>
      <w:r>
        <w:t xml:space="preserve"> </w:t>
      </w:r>
      <w:r>
        <w:t xml:space="preserve">(Smoking) - dry cure duck ham smoked in lemon grass had the highest</w:t>
      </w:r>
      <w:r>
        <w:t xml:space="preserve"> </w:t>
      </w:r>
      <w:r>
        <w:t xml:space="preserve">rating in terms of appearance, aroma, taste/flavor, texture and overall</w:t>
      </w:r>
      <w:r>
        <w:t xml:space="preserve"> </w:t>
      </w:r>
      <w:r>
        <w:t xml:space="preserve">acceptability. Comparison of Spices on Liquid Smoke - liquid cured duck</w:t>
      </w:r>
      <w:r>
        <w:t xml:space="preserve"> </w:t>
      </w:r>
      <w:r>
        <w:t xml:space="preserve">ham smoked in lemon grass had the highest rating in relation to</w:t>
      </w:r>
      <w:r>
        <w:t xml:space="preserve"> </w:t>
      </w:r>
      <w:r>
        <w:t xml:space="preserve">appearance, aroma, taste/flavor, texture and overall acceptability.</w:t>
      </w:r>
      <w:r>
        <w:t xml:space="preserve"> </w:t>
      </w:r>
      <w:r>
        <w:t xml:space="preserve">Descriptive rating revealed that all the treatment with regards to</w:t>
      </w:r>
      <w:r>
        <w:t xml:space="preserve"> </w:t>
      </w:r>
      <w:r>
        <w:t xml:space="preserve">appearance, aroma, taste/flavor, texture and overall acceptability were</w:t>
      </w:r>
      <w:r>
        <w:t xml:space="preserve"> </w:t>
      </w:r>
      <w:r>
        <w:t xml:space="preserve">rated moderately like.</w:t>
      </w:r>
    </w:p>
    <w:p>
      <w:pPr>
        <w:pStyle w:val="BodyText"/>
      </w:pPr>
      <w:r>
        <w:rPr>
          <w:bCs/>
          <w:b/>
        </w:rPr>
        <w:t xml:space="preserve">Hedge Count: 0</w:t>
      </w:r>
    </w:p>
    <w:p>
      <w:pPr>
        <w:pStyle w:val="BodyText"/>
      </w:pPr>
      <w:r>
        <w:t xml:space="preserve">Analysis: The abstract uses factive reporting verbs (showed, revealed).</w:t>
      </w:r>
      <w:r>
        <w:t xml:space="preserve"> </w:t>
      </w:r>
      <w:r>
        <w:t xml:space="preserve">Sensory evaluation ratings are reported as absolute data points. The</w:t>
      </w:r>
      <w:r>
        <w:t xml:space="preserve"> </w:t>
      </w:r>
      <w:r>
        <w:t xml:space="preserve">term</w:t>
      </w:r>
      <w:r>
        <w:t xml:space="preserve"> </w:t>
      </w:r>
      <w:r>
        <w:t xml:space="preserve">“</w:t>
      </w:r>
      <w:r>
        <w:t xml:space="preserve">moderately like</w:t>
      </w:r>
      <w:r>
        <w:t xml:space="preserve">”</w:t>
      </w:r>
      <w:r>
        <w:t xml:space="preserve"> </w:t>
      </w:r>
      <w:r>
        <w:t xml:space="preserve">describes a Likert scale variable, not an</w:t>
      </w:r>
      <w:r>
        <w:t xml:space="preserve"> </w:t>
      </w:r>
      <w:r>
        <w:t xml:space="preserve">epistemic qualification.</w:t>
      </w:r>
    </w:p>
    <w:p>
      <w:pPr>
        <w:pStyle w:val="BodyText"/>
      </w:pPr>
      <w:r>
        <w:rPr>
          <w:bCs/>
          <w:b/>
        </w:rPr>
        <w:t xml:space="preserve">Key Excerpt:</w:t>
      </w:r>
      <w:r>
        <w:t xml:space="preserve"> </w:t>
      </w:r>
      <w:r>
        <w:t xml:space="preserve">“</w:t>
      </w:r>
      <w:r>
        <w:t xml:space="preserve">Results of the study showed that Comparison on Curing</w:t>
      </w:r>
      <w:r>
        <w:t xml:space="preserve"> </w:t>
      </w:r>
      <w:r>
        <w:t xml:space="preserve">Methods…</w:t>
      </w:r>
      <w:r>
        <w:t xml:space="preserve">”</w:t>
      </w:r>
    </w:p>
    <w:p>
      <w:pPr>
        <w:pStyle w:val="BodyText"/>
      </w:pPr>
      <w:r>
        <w:rPr>
          <w:iCs/>
          <w:i/>
        </w:rPr>
        <w:t xml:space="preserve">Sample 4: Agriculture (Crop Science)</w:t>
      </w:r>
    </w:p>
    <w:p>
      <w:pPr>
        <w:pStyle w:val="BodyText"/>
      </w:pPr>
      <w:r>
        <w:t xml:space="preserve">The study was conducted from June to July 2022 to determine the</w:t>
      </w:r>
      <w:r>
        <w:t xml:space="preserve"> </w:t>
      </w:r>
      <w:r>
        <w:t xml:space="preserve">influence of the different sources of nutrients to rice straw mushrooms.</w:t>
      </w:r>
      <w:r>
        <w:t xml:space="preserve"> </w:t>
      </w:r>
      <w:r>
        <w:t xml:space="preserve">The field experiment was conducted in Sitio Pitabacan, San Ildefonso,</w:t>
      </w:r>
      <w:r>
        <w:t xml:space="preserve"> </w:t>
      </w:r>
      <w:r>
        <w:t xml:space="preserve">Magalang, Pampanga. The experiment was laid out using Complete Randomize</w:t>
      </w:r>
      <w:r>
        <w:t xml:space="preserve"> </w:t>
      </w:r>
      <w:r>
        <w:t xml:space="preserve">Design (CRD), with four treatments replicated four times. The treatments</w:t>
      </w:r>
      <w:r>
        <w:t xml:space="preserve"> </w:t>
      </w:r>
      <w:r>
        <w:t xml:space="preserve">were as follows: T₀- Untreated banana leaves substrate submerged in 55</w:t>
      </w:r>
      <w:r>
        <w:t xml:space="preserve"> </w:t>
      </w:r>
      <w:r>
        <w:t xml:space="preserve">gallon of water (Control); T₁- Banana leaves substrate submerged in</w:t>
      </w:r>
      <w:r>
        <w:t xml:space="preserve"> </w:t>
      </w:r>
      <w:r>
        <w:t xml:space="preserve">mixture of 100 grams of Urea and 55 gallons of water; T₂- Banana leaves</w:t>
      </w:r>
      <w:r>
        <w:t xml:space="preserve"> </w:t>
      </w:r>
      <w:r>
        <w:t xml:space="preserve">substrate submerged in mixture of 250 ml of fish amino acid and 55</w:t>
      </w:r>
      <w:r>
        <w:t xml:space="preserve"> </w:t>
      </w:r>
      <w:r>
        <w:t xml:space="preserve">gallons of water; and, T₃- Banana leaves substrate submerged in mixture</w:t>
      </w:r>
      <w:r>
        <w:t xml:space="preserve"> </w:t>
      </w:r>
      <w:r>
        <w:t xml:space="preserve">of 250 ml of fermented plant juice and 55 gallons of water.</w:t>
      </w:r>
    </w:p>
    <w:p>
      <w:pPr>
        <w:pStyle w:val="BodyText"/>
      </w:pPr>
      <w:r>
        <w:t xml:space="preserve">Results of the study revealed significant differences in the following</w:t>
      </w:r>
      <w:r>
        <w:t xml:space="preserve"> </w:t>
      </w:r>
      <w:r>
        <w:t xml:space="preserve">parameters: average weight of button harvested, number of buttons</w:t>
      </w:r>
      <w:r>
        <w:t xml:space="preserve"> </w:t>
      </w:r>
      <w:r>
        <w:t xml:space="preserve">harvested, average yield per harvest, and biological efficiency of rice</w:t>
      </w:r>
      <w:r>
        <w:t xml:space="preserve"> </w:t>
      </w:r>
      <w:r>
        <w:t xml:space="preserve">straw mushroom. However, insignificant differences were observed on the</w:t>
      </w:r>
      <w:r>
        <w:t xml:space="preserve"> </w:t>
      </w:r>
      <w:r>
        <w:t xml:space="preserve">days of pinhead appearance and days of harvesting. The highest ROI was</w:t>
      </w:r>
      <w:r>
        <w:t xml:space="preserve"> </w:t>
      </w:r>
      <w:r>
        <w:t xml:space="preserve">obtained in T₁- Banana leaves substrate submerged in a mixture of 100</w:t>
      </w:r>
      <w:r>
        <w:t xml:space="preserve"> </w:t>
      </w:r>
      <w:r>
        <w:t xml:space="preserve">grams of Urea and 55 gallons of water with every peso of investment 1.01</w:t>
      </w:r>
      <w:r>
        <w:t xml:space="preserve"> </w:t>
      </w:r>
      <w:r>
        <w:t xml:space="preserve">pesos of net income return.</w:t>
      </w:r>
    </w:p>
    <w:p>
      <w:pPr>
        <w:pStyle w:val="BodyText"/>
      </w:pPr>
      <w:r>
        <w:rPr>
          <w:bCs/>
          <w:b/>
        </w:rPr>
        <w:t xml:space="preserve">Hedge Count: 0</w:t>
      </w:r>
    </w:p>
    <w:p>
      <w:pPr>
        <w:pStyle w:val="BodyText"/>
      </w:pPr>
      <w:r>
        <w:t xml:space="preserve">Analysis: Statistical significance is reported as fact (revealed</w:t>
      </w:r>
      <w:r>
        <w:t xml:space="preserve"> </w:t>
      </w:r>
      <w:r>
        <w:t xml:space="preserve">significant differences). No devices are used to qualify the biological</w:t>
      </w:r>
      <w:r>
        <w:t xml:space="preserve"> </w:t>
      </w:r>
      <w:r>
        <w:t xml:space="preserve">efficiency or yield claims.</w:t>
      </w:r>
    </w:p>
    <w:p>
      <w:pPr>
        <w:pStyle w:val="BodyText"/>
      </w:pPr>
      <w:r>
        <w:rPr>
          <w:bCs/>
          <w:b/>
        </w:rPr>
        <w:t xml:space="preserve">Key Excerpt:</w:t>
      </w:r>
      <w:r>
        <w:t xml:space="preserve"> </w:t>
      </w:r>
      <w:r>
        <w:t xml:space="preserve">“</w:t>
      </w:r>
      <w:r>
        <w:t xml:space="preserve">Results of the study revealed significant</w:t>
      </w:r>
      <w:r>
        <w:t xml:space="preserve"> </w:t>
      </w:r>
      <w:r>
        <w:t xml:space="preserve">differences... The highest ROI was obtained…</w:t>
      </w:r>
      <w:r>
        <w:t xml:space="preserve">”</w:t>
      </w:r>
    </w:p>
    <w:p>
      <w:pPr>
        <w:pStyle w:val="BodyText"/>
      </w:pPr>
      <w:r>
        <w:rPr>
          <w:iCs/>
          <w:i/>
        </w:rPr>
        <w:t xml:space="preserve">General Observation from Pilot Testing</w:t>
      </w:r>
    </w:p>
    <w:p>
      <w:pPr>
        <w:pStyle w:val="BodyText"/>
      </w:pPr>
      <w:r>
        <w:t xml:space="preserve">The pilot analysis revealed a high frequency of zero-hedge abstracts (3</w:t>
      </w:r>
      <w:r>
        <w:t xml:space="preserve"> </w:t>
      </w:r>
      <w:r>
        <w:t xml:space="preserve">out of 4). This pattern suggests that developing researchers may either</w:t>
      </w:r>
      <w:r>
        <w:t xml:space="preserve"> </w:t>
      </w:r>
      <w:r>
        <w:t xml:space="preserve">lack awareness of hedging conventions or interpret the abstract genre as</w:t>
      </w:r>
      <w:r>
        <w:t xml:space="preserve"> </w:t>
      </w:r>
      <w:r>
        <w:t xml:space="preserve">a space for factual reporting rather than claim management. This</w:t>
      </w:r>
      <w:r>
        <w:t xml:space="preserve"> </w:t>
      </w:r>
      <w:r>
        <w:t xml:space="preserve">observation confirms the need for a descriptive baseline study.</w:t>
      </w:r>
    </w:p>
    <w:p>
      <w:pPr>
        <w:pStyle w:val="BodyText"/>
      </w:pPr>
      <w:r>
        <w:rPr>
          <w:bCs/>
          <w:b/>
        </w:rPr>
        <w:t xml:space="preserve">APPENDIX C: HEDGING CODEBOOK</w:t>
      </w:r>
    </w:p>
    <w:p>
      <w:pPr>
        <w:pStyle w:val="BodyText"/>
      </w:pPr>
      <w:r>
        <w:rPr>
          <w:bCs/>
          <w:b/>
        </w:rPr>
        <w:t xml:space="preserve">PURPOSE</w:t>
      </w:r>
    </w:p>
    <w:p>
      <w:pPr>
        <w:pStyle w:val="BodyText"/>
      </w:pPr>
      <w:r>
        <w:t xml:space="preserve">This codebook operationalizes Hyland’s (1998) hedging framework for</w:t>
      </w:r>
      <w:r>
        <w:t xml:space="preserve"> </w:t>
      </w:r>
      <w:r>
        <w:t xml:space="preserve">coding the PSAU thesis abstract corpus. All colors are background</w:t>
      </w:r>
      <w:r>
        <w:t xml:space="preserve"> </w:t>
      </w:r>
      <w:r>
        <w:t xml:space="preserve">highlights, applied by hand or digital highlighter directly on printed</w:t>
      </w:r>
      <w:r>
        <w:t xml:space="preserve"> </w:t>
      </w:r>
      <w:r>
        <w:t xml:space="preserve">or PDF copies. They are not font colors and are not tied to any</w:t>
      </w:r>
      <w:r>
        <w:t xml:space="preserve"> </w:t>
      </w:r>
      <w:r>
        <w:t xml:space="preserve">software. The highlighted hard copies are the primary coding record; any</w:t>
      </w:r>
      <w:r>
        <w:t xml:space="preserve"> </w:t>
      </w:r>
      <w:r>
        <w:t xml:space="preserve">spreadsheet is a derived tally, not the source of truth.</w:t>
      </w:r>
    </w:p>
    <w:p>
      <w:pPr>
        <w:pStyle w:val="BodyText"/>
      </w:pPr>
      <w:r>
        <w:rPr>
          <w:bCs/>
          <w:b/>
        </w:rPr>
        <w:t xml:space="preserve">WORKING TEST</w:t>
      </w:r>
    </w:p>
    <w:p>
      <w:pPr>
        <w:pStyle w:val="BodyText"/>
      </w:pPr>
      <w:r>
        <w:t xml:space="preserve">If removing a device does not change the epistemic weight of the claim</w:t>
      </w:r>
      <w:r>
        <w:t xml:space="preserve"> </w:t>
      </w:r>
      <w:r>
        <w:t xml:space="preserve">(how certain or tentative it is), it is not a hedge. This includes</w:t>
      </w:r>
      <w:r>
        <w:t xml:space="preserve"> </w:t>
      </w:r>
      <w:r>
        <w:t xml:space="preserve">phrases that only point to evidence for a claim already asserted</w:t>
      </w:r>
      <w:r>
        <w:t xml:space="preserve"> </w:t>
      </w:r>
      <w:r>
        <w:t xml:space="preserve">elsewhere in the sentence (e.g.,</w:t>
      </w:r>
      <w:r>
        <w:t xml:space="preserve"> </w:t>
      </w:r>
      <w:r>
        <w:rPr>
          <w:iCs/>
          <w:i/>
        </w:rPr>
        <w:t xml:space="preserve">“</w:t>
      </w:r>
      <w:r>
        <w:rPr>
          <w:iCs/>
          <w:i/>
        </w:rPr>
        <w:t xml:space="preserve">as indicated by X</w:t>
      </w:r>
      <w:r>
        <w:rPr>
          <w:iCs/>
          <w:i/>
        </w:rPr>
        <w:t xml:space="preserve">”</w:t>
      </w:r>
      <w:r>
        <w:t xml:space="preserve">) rather than</w:t>
      </w:r>
      <w:r>
        <w:t xml:space="preserve"> </w:t>
      </w:r>
      <w:r>
        <w:t xml:space="preserve">expressing uncertainty about the claim itself.</w:t>
      </w:r>
    </w:p>
    <w:p>
      <w:pPr>
        <w:pStyle w:val="BodyText"/>
      </w:pPr>
      <w:r>
        <w:t xml:space="preserve">Epistemic vs. deontic: epistemic language concerns how certain a claim</w:t>
      </w:r>
      <w:r>
        <w:t xml:space="preserve"> </w:t>
      </w:r>
      <w:r>
        <w:t xml:space="preserve">is (what may or might be true). Deontic language concerns what should or</w:t>
      </w:r>
      <w:r>
        <w:t xml:space="preserve"> </w:t>
      </w:r>
      <w:r>
        <w:t xml:space="preserve">needs to be done. Hedges are epistemic. Deontic language is never a</w:t>
      </w:r>
      <w:r>
        <w:t xml:space="preserve"> </w:t>
      </w:r>
      <w:r>
        <w:t xml:space="preserve">hedge, whatever verb carries it. Example:</w:t>
      </w:r>
      <w:r>
        <w:t xml:space="preserve"> </w:t>
      </w:r>
      <w:r>
        <w:t xml:space="preserve">“</w:t>
      </w:r>
      <w:r>
        <w:t xml:space="preserve">We suggest further research</w:t>
      </w:r>
      <w:r>
        <w:t xml:space="preserve">”</w:t>
      </w:r>
      <w:r>
        <w:t xml:space="preserve"> </w:t>
      </w:r>
      <w:r>
        <w:t xml:space="preserve">is FP-Rec even though</w:t>
      </w:r>
      <w:r>
        <w:t xml:space="preserve"> </w:t>
      </w:r>
      <w:r>
        <w:t xml:space="preserve">“</w:t>
      </w:r>
      <w:r>
        <w:t xml:space="preserve">suggest</w:t>
      </w:r>
      <w:r>
        <w:t xml:space="preserve">”</w:t>
      </w:r>
      <w:r>
        <w:t xml:space="preserve"> </w:t>
      </w:r>
      <w:r>
        <w:t xml:space="preserve">is on the hedge list.</w:t>
      </w:r>
    </w:p>
    <w:p>
      <w:pPr>
        <w:pStyle w:val="BodyText"/>
      </w:pPr>
      <w:r>
        <w:t xml:space="preserve">Do not code a word as a hedge just because it appears in the hedge list.</w:t>
      </w:r>
      <w:r>
        <w:t xml:space="preserve"> </w:t>
      </w:r>
      <w:r>
        <w:t xml:space="preserve">Evaluate its function in the sentence:</w:t>
      </w:r>
      <w:r>
        <w:t xml:space="preserve"> </w:t>
      </w:r>
      <w:r>
        <w:rPr>
          <w:iCs/>
          <w:i/>
        </w:rPr>
        <w:t xml:space="preserve">“</w:t>
      </w:r>
      <w:r>
        <w:rPr>
          <w:iCs/>
          <w:i/>
        </w:rPr>
        <w:t xml:space="preserve">can</w:t>
      </w:r>
      <w:r>
        <w:rPr>
          <w:iCs/>
          <w:i/>
        </w:rPr>
        <w:t xml:space="preserve">”</w:t>
      </w:r>
      <w:r>
        <w:t xml:space="preserve"> </w:t>
      </w:r>
      <w:r>
        <w:t xml:space="preserve">is a hedge only for</w:t>
      </w:r>
      <w:r>
        <w:t xml:space="preserve"> </w:t>
      </w:r>
      <w:r>
        <w:t xml:space="preserve">possibility, not capability;</w:t>
      </w:r>
      <w:r>
        <w:t xml:space="preserve"> </w:t>
      </w:r>
      <w:r>
        <w:rPr>
          <w:iCs/>
          <w:i/>
        </w:rPr>
        <w:t xml:space="preserve">“</w:t>
      </w:r>
      <w:r>
        <w:rPr>
          <w:iCs/>
          <w:i/>
        </w:rPr>
        <w:t xml:space="preserve">suggest</w:t>
      </w:r>
      <w:r>
        <w:rPr>
          <w:iCs/>
          <w:i/>
        </w:rPr>
        <w:t xml:space="preserve">”</w:t>
      </w:r>
      <w:r>
        <w:t xml:space="preserve"> </w:t>
      </w:r>
      <w:r>
        <w:t xml:space="preserve">is a hedge only for a finding,</w:t>
      </w:r>
      <w:r>
        <w:t xml:space="preserve"> </w:t>
      </w:r>
      <w:r>
        <w:t xml:space="preserve">not a recommendation.</w:t>
      </w:r>
    </w:p>
    <w:p>
      <w:pPr>
        <w:pStyle w:val="BodyText"/>
      </w:pPr>
      <w:r>
        <w:t xml:space="preserve">Coding order: read the sentence in full, check Decision Rules, apply the</w:t>
      </w:r>
      <w:r>
        <w:t xml:space="preserve"> </w:t>
      </w:r>
      <w:r>
        <w:t xml:space="preserve">Working Test if unresolved, and log any case that still can’t be</w:t>
      </w:r>
      <w:r>
        <w:t xml:space="preserve"> </w:t>
      </w:r>
      <w:r>
        <w:t xml:space="preserve">resolved in Coder Notes rather than guessing.</w:t>
      </w:r>
    </w:p>
    <w:p>
      <w:pPr>
        <w:pStyle w:val="BodyText"/>
      </w:pPr>
      <w:r>
        <w:rPr>
          <w:bCs/>
          <w:b/>
        </w:rPr>
        <w:t xml:space="preserve">LAYER 1: HEDGE TYPE (PRIMARY COLORS)</w:t>
      </w:r>
    </w:p>
    <w:p>
      <w:pPr>
        <w:pStyle w:val="BodyText"/>
      </w:pPr>
      <w:r>
        <w:t xml:space="preserve">Highlight each hedge token in the color matching its grammatical form.</w:t>
      </w:r>
    </w:p>
    <w:tbl>
      <w:tblPr>
        <w:tblStyle w:val="Table"/>
        <w:tblW w:type="pct" w:w="4865"/>
        <w:tblLook w:firstRow="1" w:lastRow="0" w:firstColumn="0" w:lastColumn="0" w:noHBand="0" w:noVBand="0" w:val="0020"/>
        <w:jc w:val="start"/>
      </w:tblPr>
      <w:tblGrid>
        <w:gridCol w:w="1926"/>
        <w:gridCol w:w="1926"/>
        <w:gridCol w:w="1926"/>
        <w:gridCol w:w="1926"/>
      </w:tblGrid>
      <w:tr>
        <w:trPr>
          <w:tblHeader w:val="true"/>
        </w:trPr>
        <w:tc>
          <w:tcPr/>
          <w:p>
            <w:pPr>
              <w:pStyle w:val="Compact"/>
              <w:jc w:val="left"/>
            </w:pPr>
            <w:r>
              <w:rPr>
                <w:bCs/>
                <w:b/>
              </w:rPr>
              <w:t xml:space="preserve">Color</w:t>
            </w:r>
          </w:p>
        </w:tc>
        <w:tc>
          <w:tcPr/>
          <w:p>
            <w:pPr>
              <w:pStyle w:val="Compact"/>
              <w:jc w:val="left"/>
            </w:pPr>
            <w:r>
              <w:rPr>
                <w:bCs/>
                <w:b/>
              </w:rPr>
              <w:t xml:space="preserve">Type</w:t>
            </w:r>
          </w:p>
        </w:tc>
        <w:tc>
          <w:tcPr/>
          <w:p>
            <w:pPr>
              <w:pStyle w:val="Compact"/>
              <w:jc w:val="left"/>
            </w:pPr>
            <w:r>
              <w:rPr>
                <w:bCs/>
                <w:b/>
              </w:rPr>
              <w:t xml:space="preserve">Definition</w:t>
            </w:r>
          </w:p>
        </w:tc>
        <w:tc>
          <w:tcPr/>
          <w:p>
            <w:pPr>
              <w:pStyle w:val="Compact"/>
              <w:jc w:val="left"/>
            </w:pPr>
            <w:r>
              <w:rPr>
                <w:bCs/>
                <w:b/>
              </w:rPr>
              <w:t xml:space="preserve">Highlighted</w:t>
            </w:r>
            <w:r>
              <w:rPr>
                <w:bCs/>
                <w:b/>
              </w:rPr>
              <w:t xml:space="preserve"> </w:t>
            </w:r>
            <w:r>
              <w:rPr>
                <w:bCs/>
                <w:b/>
              </w:rPr>
              <w:t xml:space="preserve">Example</w:t>
            </w:r>
          </w:p>
        </w:tc>
      </w:tr>
      <w:tr>
        <w:tc>
          <w:tcPr/>
          <w:p>
            <w:pPr>
              <w:pStyle w:val="Compact"/>
              <w:jc w:val="left"/>
            </w:pPr>
            <w:r>
              <w:t xml:space="preserve">      </w:t>
            </w:r>
          </w:p>
        </w:tc>
        <w:tc>
          <w:tcPr/>
          <w:p>
            <w:pPr>
              <w:pStyle w:val="Compact"/>
              <w:jc w:val="left"/>
            </w:pPr>
            <w:r>
              <w:t xml:space="preserve">Modal Verbs</w:t>
            </w:r>
          </w:p>
        </w:tc>
        <w:tc>
          <w:tcPr/>
          <w:p>
            <w:pPr>
              <w:pStyle w:val="Compact"/>
              <w:jc w:val="left"/>
            </w:pPr>
            <w:r>
              <w:t xml:space="preserve">Expresses</w:t>
            </w:r>
            <w:r>
              <w:t xml:space="preserve"> </w:t>
            </w:r>
            <w:r>
              <w:t xml:space="preserve">possibility,</w:t>
            </w:r>
            <w:r>
              <w:t xml:space="preserve"> </w:t>
            </w:r>
            <w:r>
              <w:t xml:space="preserve">probability, or a</w:t>
            </w:r>
            <w:r>
              <w:t xml:space="preserve"> </w:t>
            </w:r>
            <w:r>
              <w:t xml:space="preserve">condition under</w:t>
            </w:r>
            <w:r>
              <w:t xml:space="preserve"> </w:t>
            </w:r>
            <w:r>
              <w:t xml:space="preserve">which something</w:t>
            </w:r>
            <w:r>
              <w:t xml:space="preserve"> </w:t>
            </w:r>
            <w:r>
              <w:t xml:space="preserve">may happen.</w:t>
            </w:r>
          </w:p>
        </w:tc>
        <w:tc>
          <w:tcPr/>
          <w:p>
            <w:pPr>
              <w:pStyle w:val="Compact"/>
              <w:jc w:val="left"/>
            </w:pPr>
            <w:r>
              <w:t xml:space="preserve">“</w:t>
            </w:r>
            <w:r>
              <w:t xml:space="preserve">This</w:t>
            </w:r>
            <w:r>
              <w:t xml:space="preserve"> </w:t>
            </w:r>
            <w:r>
              <w:rPr>
                <w:bCs/>
                <w:b/>
              </w:rPr>
              <w:t xml:space="preserve">may</w:t>
            </w:r>
            <w:r>
              <w:t xml:space="preserve"> </w:t>
            </w:r>
            <w:r>
              <w:t xml:space="preserve">indicate disease</w:t>
            </w:r>
            <w:r>
              <w:t xml:space="preserve"> </w:t>
            </w:r>
            <w:r>
              <w:t xml:space="preserve">resistance.</w:t>
            </w:r>
            <w:r>
              <w:t xml:space="preserve">”</w:t>
            </w:r>
          </w:p>
        </w:tc>
      </w:tr>
      <w:tr>
        <w:tc>
          <w:tcPr/>
          <w:p>
            <w:pPr>
              <w:pStyle w:val="Compact"/>
              <w:jc w:val="left"/>
            </w:pPr>
            <w:r>
              <w:t xml:space="preserve">      </w:t>
            </w:r>
          </w:p>
        </w:tc>
        <w:tc>
          <w:tcPr/>
          <w:p>
            <w:pPr>
              <w:pStyle w:val="Compact"/>
              <w:jc w:val="left"/>
            </w:pPr>
            <w:r>
              <w:t xml:space="preserve">Lexical Hedges</w:t>
            </w:r>
          </w:p>
        </w:tc>
        <w:tc>
          <w:tcPr/>
          <w:p>
            <w:pPr>
              <w:pStyle w:val="Compact"/>
              <w:jc w:val="left"/>
            </w:pPr>
            <w:r>
              <w:t xml:space="preserve">Verbs,</w:t>
            </w:r>
            <w:r>
              <w:t xml:space="preserve"> </w:t>
            </w:r>
            <w:r>
              <w:t xml:space="preserve">adjectives, or</w:t>
            </w:r>
            <w:r>
              <w:t xml:space="preserve"> </w:t>
            </w:r>
            <w:r>
              <w:t xml:space="preserve">nouns that make a</w:t>
            </w:r>
            <w:r>
              <w:t xml:space="preserve"> </w:t>
            </w:r>
            <w:r>
              <w:t xml:space="preserve">claim less</w:t>
            </w:r>
            <w:r>
              <w:t xml:space="preserve"> </w:t>
            </w:r>
            <w:r>
              <w:t xml:space="preserve">certain or more</w:t>
            </w:r>
            <w:r>
              <w:t xml:space="preserve"> </w:t>
            </w:r>
            <w:r>
              <w:t xml:space="preserve">cautious.</w:t>
            </w:r>
          </w:p>
        </w:tc>
        <w:tc>
          <w:tcPr/>
          <w:p>
            <w:pPr>
              <w:pStyle w:val="Compact"/>
              <w:jc w:val="left"/>
            </w:pPr>
            <w:r>
              <w:t xml:space="preserve">“</w:t>
            </w:r>
            <w:r>
              <w:t xml:space="preserve">Data</w:t>
            </w:r>
            <w:r>
              <w:t xml:space="preserve"> </w:t>
            </w:r>
            <w:r>
              <w:rPr>
                <w:bCs/>
                <w:b/>
              </w:rPr>
              <w:t xml:space="preserve">suggests</w:t>
            </w:r>
            <w:r>
              <w:t xml:space="preserve"> </w:t>
            </w:r>
            <w:r>
              <w:t xml:space="preserve">a</w:t>
            </w:r>
            <w:r>
              <w:t xml:space="preserve"> </w:t>
            </w:r>
            <w:r>
              <w:t xml:space="preserve">correlation.</w:t>
            </w:r>
            <w:r>
              <w:t xml:space="preserve">”</w:t>
            </w:r>
          </w:p>
        </w:tc>
      </w:tr>
      <w:tr>
        <w:tc>
          <w:tcPr/>
          <w:p>
            <w:pPr>
              <w:pStyle w:val="Compact"/>
              <w:jc w:val="left"/>
            </w:pPr>
            <w:r>
              <w:t xml:space="preserve">      </w:t>
            </w:r>
          </w:p>
        </w:tc>
        <w:tc>
          <w:tcPr/>
          <w:p>
            <w:pPr>
              <w:pStyle w:val="Compact"/>
              <w:jc w:val="left"/>
            </w:pPr>
            <w:r>
              <w:t xml:space="preserve">Adverbial Hedges</w:t>
            </w:r>
          </w:p>
        </w:tc>
        <w:tc>
          <w:tcPr/>
          <w:p>
            <w:pPr>
              <w:pStyle w:val="Compact"/>
              <w:jc w:val="left"/>
            </w:pPr>
            <w:r>
              <w:t xml:space="preserve">Adverbs that</w:t>
            </w:r>
            <w:r>
              <w:t xml:space="preserve"> </w:t>
            </w:r>
            <w:r>
              <w:t xml:space="preserve">qualify how</w:t>
            </w:r>
            <w:r>
              <w:t xml:space="preserve"> </w:t>
            </w:r>
            <w:r>
              <w:t xml:space="preserve">broadly, how</w:t>
            </w:r>
            <w:r>
              <w:t xml:space="preserve"> </w:t>
            </w:r>
            <w:r>
              <w:t xml:space="preserve">often, or how</w:t>
            </w:r>
            <w:r>
              <w:t xml:space="preserve"> </w:t>
            </w:r>
            <w:r>
              <w:t xml:space="preserve">certainly a claim</w:t>
            </w:r>
            <w:r>
              <w:t xml:space="preserve"> </w:t>
            </w:r>
            <w:r>
              <w:t xml:space="preserve">applies.</w:t>
            </w:r>
          </w:p>
        </w:tc>
        <w:tc>
          <w:tcPr/>
          <w:p>
            <w:pPr>
              <w:pStyle w:val="Compact"/>
              <w:jc w:val="left"/>
            </w:pPr>
            <w:r>
              <w:t xml:space="preserve">“</w:t>
            </w:r>
            <w:r>
              <w:t xml:space="preserve">Plants</w:t>
            </w:r>
            <w:r>
              <w:t xml:space="preserve"> </w:t>
            </w:r>
            <w:r>
              <w:rPr>
                <w:bCs/>
                <w:b/>
              </w:rPr>
              <w:t xml:space="preserve">generally</w:t>
            </w:r>
            <w:r>
              <w:t xml:space="preserve"> </w:t>
            </w:r>
            <w:r>
              <w:t xml:space="preserve">respond to</w:t>
            </w:r>
            <w:r>
              <w:t xml:space="preserve"> </w:t>
            </w:r>
            <w:r>
              <w:t xml:space="preserve">drought.</w:t>
            </w:r>
            <w:r>
              <w:t xml:space="preserve">”</w:t>
            </w:r>
          </w:p>
        </w:tc>
      </w:tr>
      <w:tr>
        <w:tc>
          <w:tcPr/>
          <w:p>
            <w:pPr>
              <w:pStyle w:val="Compact"/>
              <w:jc w:val="left"/>
            </w:pPr>
            <w:r>
              <w:t xml:space="preserve">      </w:t>
            </w:r>
          </w:p>
        </w:tc>
        <w:tc>
          <w:tcPr/>
          <w:p>
            <w:pPr>
              <w:pStyle w:val="Compact"/>
              <w:jc w:val="left"/>
            </w:pPr>
            <w:r>
              <w:t xml:space="preserve">Clause-Level</w:t>
            </w:r>
            <w:r>
              <w:t xml:space="preserve"> </w:t>
            </w:r>
            <w:r>
              <w:t xml:space="preserve">Hedges</w:t>
            </w:r>
          </w:p>
        </w:tc>
        <w:tc>
          <w:tcPr/>
          <w:p>
            <w:pPr>
              <w:pStyle w:val="Compact"/>
              <w:jc w:val="left"/>
            </w:pPr>
            <w:r>
              <w:t xml:space="preserve">Clause-level</w:t>
            </w:r>
            <w:r>
              <w:t xml:space="preserve"> </w:t>
            </w:r>
            <w:r>
              <w:t xml:space="preserve">phrases framing a</w:t>
            </w:r>
            <w:r>
              <w:t xml:space="preserve"> </w:t>
            </w:r>
            <w:r>
              <w:t xml:space="preserve">claim as</w:t>
            </w:r>
            <w:r>
              <w:t xml:space="preserve"> </w:t>
            </w:r>
            <w:r>
              <w:t xml:space="preserve">tentative.</w:t>
            </w:r>
          </w:p>
        </w:tc>
        <w:tc>
          <w:tcPr/>
          <w:p>
            <w:pPr>
              <w:pStyle w:val="Compact"/>
              <w:jc w:val="left"/>
            </w:pPr>
            <w:r>
              <w:t xml:space="preserve">“</w:t>
            </w:r>
            <w:r>
              <w:rPr>
                <w:bCs/>
                <w:b/>
              </w:rPr>
              <w:t xml:space="preserve">It seems</w:t>
            </w:r>
            <w:r>
              <w:rPr>
                <w:bCs/>
                <w:b/>
              </w:rPr>
              <w:t xml:space="preserve"> </w:t>
            </w:r>
            <w:r>
              <w:rPr>
                <w:bCs/>
                <w:b/>
              </w:rPr>
              <w:t xml:space="preserve">that</w:t>
            </w:r>
            <w:r>
              <w:t xml:space="preserve"> </w:t>
            </w:r>
            <w:r>
              <w:t xml:space="preserve">the</w:t>
            </w:r>
            <w:r>
              <w:t xml:space="preserve"> </w:t>
            </w:r>
            <w:r>
              <w:t xml:space="preserve">pathogen is</w:t>
            </w:r>
            <w:r>
              <w:t xml:space="preserve"> </w:t>
            </w:r>
            <w:r>
              <w:t xml:space="preserve">host-specific.</w:t>
            </w:r>
            <w:r>
              <w:t xml:space="preserve">”</w:t>
            </w:r>
          </w:p>
        </w:tc>
      </w:tr>
    </w:tbl>
    <w:p>
      <w:pPr>
        <w:pStyle w:val="BodyText"/>
      </w:pPr>
      <w:r>
        <w:rPr>
          <w:iCs/>
          <w:i/>
        </w:rPr>
        <w:t xml:space="preserve">Exclusions (capability, recommendation, procedural norm, location) are</w:t>
      </w:r>
      <w:r>
        <w:rPr>
          <w:iCs/>
          <w:i/>
        </w:rPr>
        <w:t xml:space="preserve"> </w:t>
      </w:r>
      <w:r>
        <w:rPr>
          <w:iCs/>
          <w:i/>
        </w:rPr>
        <w:t xml:space="preserve">covered under</w:t>
      </w:r>
      <w:r>
        <w:rPr>
          <w:iCs/>
          <w:i/>
        </w:rPr>
        <w:t xml:space="preserve"> </w:t>
      </w:r>
      <w:r>
        <w:rPr>
          <w:bCs/>
          <w:b/>
          <w:iCs/>
          <w:i/>
        </w:rPr>
        <w:t xml:space="preserve">Decision Rules</w:t>
      </w:r>
      <w:r>
        <w:rPr>
          <w:iCs/>
          <w:i/>
        </w:rPr>
        <w:t xml:space="preserve">.</w:t>
      </w:r>
    </w:p>
    <w:p>
      <w:pPr>
        <w:pStyle w:val="BodyText"/>
      </w:pPr>
      <w:r>
        <w:rPr>
          <w:bCs/>
          <w:b/>
        </w:rPr>
        <w:t xml:space="preserve">Extensions:</w:t>
      </w:r>
      <w:r>
        <w:t xml:space="preserve"> </w:t>
      </w:r>
      <w:r>
        <w:rPr>
          <w:iCs/>
          <w:i/>
        </w:rPr>
        <w:t xml:space="preserve">“</w:t>
      </w:r>
      <w:r>
        <w:rPr>
          <w:iCs/>
          <w:i/>
        </w:rPr>
        <w:t xml:space="preserve">imply/implies/implying</w:t>
      </w:r>
      <w:r>
        <w:rPr>
          <w:iCs/>
          <w:i/>
        </w:rPr>
        <w:t xml:space="preserve">”</w:t>
      </w:r>
      <w:r>
        <w:t xml:space="preserve"> </w:t>
      </w:r>
      <w:r>
        <w:t xml:space="preserve">functions as</w:t>
      </w:r>
      <w:r>
        <w:t xml:space="preserve"> </w:t>
      </w:r>
      <w:r>
        <w:rPr>
          <w:iCs/>
          <w:i/>
        </w:rPr>
        <w:t xml:space="preserve">suggest</w:t>
      </w:r>
      <w:r>
        <w:t xml:space="preserve">.</w:t>
      </w:r>
      <w:r>
        <w:t xml:space="preserve"> </w:t>
      </w:r>
      <w:r>
        <w:rPr>
          <w:iCs/>
          <w:i/>
        </w:rPr>
        <w:t xml:space="preserve">“</w:t>
      </w:r>
      <w:r>
        <w:rPr>
          <w:iCs/>
          <w:i/>
        </w:rPr>
        <w:t xml:space="preserve">Can</w:t>
      </w:r>
      <w:r>
        <w:rPr>
          <w:iCs/>
          <w:i/>
        </w:rPr>
        <w:t xml:space="preserve"> </w:t>
      </w:r>
      <w:r>
        <w:rPr>
          <w:iCs/>
          <w:i/>
        </w:rPr>
        <w:t xml:space="preserve">be concluded / derived / stated / attributed to / seen as</w:t>
      </w:r>
      <w:r>
        <w:rPr>
          <w:iCs/>
          <w:i/>
        </w:rPr>
        <w:t xml:space="preserve">”</w:t>
      </w:r>
      <w:r>
        <w:t xml:space="preserve"> </w:t>
      </w:r>
      <w:r>
        <w:t xml:space="preserve">is an</w:t>
      </w:r>
      <w:r>
        <w:t xml:space="preserve"> </w:t>
      </w:r>
      <w:r>
        <w:t xml:space="preserve">inferential hedge, distinct from capability</w:t>
      </w:r>
      <w:r>
        <w:t xml:space="preserve"> </w:t>
      </w:r>
      <w:r>
        <w:rPr>
          <w:iCs/>
          <w:i/>
        </w:rPr>
        <w:t xml:space="preserve">“</w:t>
      </w:r>
      <w:r>
        <w:rPr>
          <w:iCs/>
          <w:i/>
        </w:rPr>
        <w:t xml:space="preserve">can</w:t>
      </w:r>
      <w:r>
        <w:rPr>
          <w:iCs/>
          <w:i/>
        </w:rPr>
        <w:t xml:space="preserve">”</w:t>
      </w:r>
      <w:r>
        <w:t xml:space="preserve"> </w:t>
      </w:r>
      <w:r>
        <w:t xml:space="preserve">(see Decision</w:t>
      </w:r>
      <w:r>
        <w:t xml:space="preserve"> </w:t>
      </w:r>
      <w:r>
        <w:t xml:space="preserve">Rules).</w:t>
      </w:r>
      <w:r>
        <w:t xml:space="preserve"> </w:t>
      </w:r>
      <w:r>
        <w:rPr>
          <w:iCs/>
          <w:i/>
        </w:rPr>
        <w:t xml:space="preserve">“</w:t>
      </w:r>
      <w:r>
        <w:rPr>
          <w:iCs/>
          <w:i/>
        </w:rPr>
        <w:t xml:space="preserve">Potentially</w:t>
      </w:r>
      <w:r>
        <w:rPr>
          <w:iCs/>
          <w:i/>
        </w:rPr>
        <w:t xml:space="preserve">”</w:t>
      </w:r>
      <w:r>
        <w:t xml:space="preserve"> </w:t>
      </w:r>
      <w:r>
        <w:t xml:space="preserve">is an adverbial hedge.</w:t>
      </w:r>
      <w:r>
        <w:t xml:space="preserve"> </w:t>
      </w:r>
      <w:r>
        <w:rPr>
          <w:iCs/>
          <w:i/>
        </w:rPr>
        <w:t xml:space="preserve">“</w:t>
      </w:r>
      <w:r>
        <w:rPr>
          <w:iCs/>
          <w:i/>
        </w:rPr>
        <w:t xml:space="preserve">Potential</w:t>
      </w:r>
      <w:r>
        <w:rPr>
          <w:iCs/>
          <w:i/>
        </w:rPr>
        <w:t xml:space="preserve">”</w:t>
      </w:r>
      <w:r>
        <w:t xml:space="preserve"> </w:t>
      </w:r>
      <w:r>
        <w:t xml:space="preserve">naming the</w:t>
      </w:r>
      <w:r>
        <w:t xml:space="preserve"> </w:t>
      </w:r>
      <w:r>
        <w:t xml:space="preserve">research object itself (e.g.,</w:t>
      </w:r>
      <w:r>
        <w:t xml:space="preserve"> </w:t>
      </w:r>
      <w:r>
        <w:rPr>
          <w:iCs/>
          <w:i/>
        </w:rPr>
        <w:t xml:space="preserve">“</w:t>
      </w:r>
      <w:r>
        <w:rPr>
          <w:iCs/>
          <w:i/>
        </w:rPr>
        <w:t xml:space="preserve">assessed the potential of X</w:t>
      </w:r>
      <w:r>
        <w:rPr>
          <w:iCs/>
          <w:i/>
        </w:rPr>
        <w:t xml:space="preserve">”</w:t>
      </w:r>
      <w:r>
        <w:t xml:space="preserve">) is not</w:t>
      </w:r>
      <w:r>
        <w:t xml:space="preserve"> </w:t>
      </w:r>
      <w:r>
        <w:t xml:space="preserve">markable, it names a topic rather than qualifying a claim.</w:t>
      </w:r>
      <w:r>
        <w:t xml:space="preserve"> </w:t>
      </w:r>
      <w:r>
        <w:rPr>
          <w:iCs/>
          <w:i/>
        </w:rPr>
        <w:t xml:space="preserve">Stricter</w:t>
      </w:r>
      <w:r>
        <w:rPr>
          <w:iCs/>
          <w:i/>
        </w:rPr>
        <w:t xml:space="preserve"> </w:t>
      </w:r>
      <w:r>
        <w:rPr>
          <w:iCs/>
          <w:i/>
        </w:rPr>
        <w:t xml:space="preserve">rule for</w:t>
      </w:r>
      <w:r>
        <w:rPr>
          <w:iCs/>
          <w:i/>
        </w:rPr>
        <w:t xml:space="preserve"> </w:t>
      </w:r>
      <w:r>
        <w:rPr>
          <w:iCs/>
          <w:i/>
        </w:rPr>
        <w:t xml:space="preserve">“</w:t>
      </w:r>
      <w:r>
        <w:rPr>
          <w:iCs/>
          <w:i/>
        </w:rPr>
        <w:t xml:space="preserve">potential + noun</w:t>
      </w:r>
      <w:r>
        <w:rPr>
          <w:iCs/>
          <w:i/>
        </w:rPr>
        <w:t xml:space="preserve">”</w:t>
      </w:r>
      <w:r>
        <w:rPr>
          <w:iCs/>
          <w:i/>
        </w:rPr>
        <w:t xml:space="preserve"> </w:t>
      </w:r>
      <w:r>
        <w:rPr>
          <w:iCs/>
          <w:i/>
        </w:rPr>
        <w:t xml:space="preserve">constructions: if the phrase sits in an</w:t>
      </w:r>
      <w:r>
        <w:rPr>
          <w:iCs/>
          <w:i/>
        </w:rPr>
        <w:t xml:space="preserve"> </w:t>
      </w:r>
      <w:r>
        <w:rPr>
          <w:iCs/>
          <w:i/>
        </w:rPr>
        <w:t xml:space="preserve">introduction/rationale sentence (motivating why the topic matters,</w:t>
      </w:r>
      <w:r>
        <w:rPr>
          <w:iCs/>
          <w:i/>
        </w:rPr>
        <w:t xml:space="preserve"> </w:t>
      </w:r>
      <w:r>
        <w:rPr>
          <w:iCs/>
          <w:i/>
        </w:rPr>
        <w:t xml:space="preserve">before any data is presented), treat as topic-naming (FP-Gen) regardless</w:t>
      </w:r>
      <w:r>
        <w:rPr>
          <w:iCs/>
          <w:i/>
        </w:rPr>
        <w:t xml:space="preserve"> </w:t>
      </w:r>
      <w:r>
        <w:rPr>
          <w:iCs/>
          <w:i/>
        </w:rPr>
        <w:t xml:space="preserve">of the verb used. If it sits in a results/conclusion sentence qualifying</w:t>
      </w:r>
      <w:r>
        <w:rPr>
          <w:iCs/>
          <w:i/>
        </w:rPr>
        <w:t xml:space="preserve"> </w:t>
      </w:r>
      <w:r>
        <w:rPr>
          <w:iCs/>
          <w:i/>
        </w:rPr>
        <w:t xml:space="preserve">a claim about findings, treat as a Lexical hedge (EC). The distinction</w:t>
      </w:r>
      <w:r>
        <w:rPr>
          <w:iCs/>
          <w:i/>
        </w:rPr>
        <w:t xml:space="preserve"> </w:t>
      </w:r>
      <w:r>
        <w:rPr>
          <w:iCs/>
          <w:i/>
        </w:rPr>
        <w:t xml:space="preserve">is structural position, not verb choice.</w:t>
      </w:r>
    </w:p>
    <w:p>
      <w:pPr>
        <w:pStyle w:val="BodyText"/>
      </w:pPr>
      <w:r>
        <w:rPr>
          <w:bCs/>
          <w:b/>
        </w:rPr>
        <w:t xml:space="preserve">LAYER 2: HEDGE FUNCTION (COLORED TEXT LABELS)</w:t>
      </w:r>
    </w:p>
    <w:p>
      <w:pPr>
        <w:pStyle w:val="BodyText"/>
      </w:pPr>
      <w:r>
        <w:t xml:space="preserve">Not a highlight. Write the function label beside the token in that</w:t>
      </w:r>
      <w:r>
        <w:t xml:space="preserve"> </w:t>
      </w:r>
      <w:r>
        <w:t xml:space="preserve">function’s color of text. The token keeps only its Layer 1 highlight.</w:t>
      </w:r>
    </w:p>
    <w:tbl>
      <w:tblPr>
        <w:tblStyle w:val="Table"/>
        <w:tblW w:type="pct" w:w="4865"/>
        <w:tblLook w:firstRow="1" w:lastRow="0" w:firstColumn="0" w:lastColumn="0" w:noHBand="0" w:noVBand="0" w:val="0020"/>
        <w:jc w:val="start"/>
      </w:tblPr>
      <w:tblGrid>
        <w:gridCol w:w="1926"/>
        <w:gridCol w:w="1926"/>
        <w:gridCol w:w="1926"/>
        <w:gridCol w:w="1926"/>
      </w:tblGrid>
      <w:tr>
        <w:trPr>
          <w:tblHeader w:val="true"/>
        </w:trPr>
        <w:tc>
          <w:tcPr/>
          <w:p>
            <w:pPr>
              <w:pStyle w:val="Compact"/>
              <w:jc w:val="left"/>
            </w:pPr>
            <w:r>
              <w:rPr>
                <w:bCs/>
                <w:b/>
              </w:rPr>
              <w:t xml:space="preserve">Label</w:t>
            </w:r>
          </w:p>
        </w:tc>
        <w:tc>
          <w:tcPr/>
          <w:p>
            <w:pPr>
              <w:pStyle w:val="Compact"/>
              <w:jc w:val="left"/>
            </w:pPr>
            <w:r>
              <w:rPr>
                <w:bCs/>
                <w:b/>
              </w:rPr>
              <w:t xml:space="preserve">Function</w:t>
            </w:r>
          </w:p>
        </w:tc>
        <w:tc>
          <w:tcPr/>
          <w:p>
            <w:pPr>
              <w:pStyle w:val="Compact"/>
              <w:jc w:val="left"/>
            </w:pPr>
            <w:r>
              <w:rPr>
                <w:bCs/>
                <w:b/>
              </w:rPr>
              <w:t xml:space="preserve">Definition</w:t>
            </w:r>
          </w:p>
        </w:tc>
        <w:tc>
          <w:tcPr/>
          <w:p>
            <w:pPr>
              <w:pStyle w:val="Compact"/>
              <w:jc w:val="left"/>
            </w:pPr>
            <w:r>
              <w:rPr>
                <w:bCs/>
                <w:b/>
              </w:rPr>
              <w:t xml:space="preserve">Marked</w:t>
            </w:r>
            <w:r>
              <w:rPr>
                <w:bCs/>
                <w:b/>
              </w:rPr>
              <w:t xml:space="preserve"> </w:t>
            </w:r>
            <w:r>
              <w:rPr>
                <w:bCs/>
                <w:b/>
              </w:rPr>
              <w:t xml:space="preserve">Example</w:t>
            </w:r>
          </w:p>
        </w:tc>
      </w:tr>
      <w:tr>
        <w:tc>
          <w:tcPr/>
          <w:p>
            <w:pPr>
              <w:pStyle w:val="Compact"/>
              <w:jc w:val="left"/>
            </w:pPr>
            <w:r>
              <w:rPr>
                <w:bCs/>
                <w:b/>
              </w:rPr>
              <w:t xml:space="preserve">EC</w:t>
            </w:r>
          </w:p>
        </w:tc>
        <w:tc>
          <w:tcPr/>
          <w:p>
            <w:pPr>
              <w:pStyle w:val="Compact"/>
              <w:jc w:val="left"/>
            </w:pPr>
            <w:r>
              <w:t xml:space="preserve">Epistemic Caution</w:t>
            </w:r>
          </w:p>
        </w:tc>
        <w:tc>
          <w:tcPr/>
          <w:p>
            <w:pPr>
              <w:pStyle w:val="Compact"/>
              <w:jc w:val="left"/>
            </w:pPr>
            <w:r>
              <w:t xml:space="preserve">Expresses</w:t>
            </w:r>
            <w:r>
              <w:t xml:space="preserve"> </w:t>
            </w:r>
            <w:r>
              <w:t xml:space="preserve">uncertainty about</w:t>
            </w:r>
            <w:r>
              <w:t xml:space="preserve"> </w:t>
            </w:r>
            <w:r>
              <w:t xml:space="preserve">a claim’s truth.</w:t>
            </w:r>
          </w:p>
        </w:tc>
        <w:tc>
          <w:tcPr/>
          <w:p>
            <w:pPr>
              <w:pStyle w:val="Compact"/>
              <w:jc w:val="left"/>
            </w:pPr>
            <w:r>
              <w:t xml:space="preserve">“</w:t>
            </w:r>
            <w:r>
              <w:t xml:space="preserve">The treatment</w:t>
            </w:r>
            <w:r>
              <w:t xml:space="preserve"> </w:t>
            </w:r>
            <w:r>
              <w:rPr>
                <w:bCs/>
                <w:b/>
              </w:rPr>
              <w:t xml:space="preserve">may</w:t>
            </w:r>
            <w:r>
              <w:t xml:space="preserve"> </w:t>
            </w:r>
            <w:r>
              <w:t xml:space="preserve">reduce</w:t>
            </w:r>
            <w:r>
              <w:t xml:space="preserve"> </w:t>
            </w:r>
            <w:r>
              <w:t xml:space="preserve">infection rates.</w:t>
            </w:r>
            <w:r>
              <w:t xml:space="preserve"> </w:t>
            </w:r>
            <w:r>
              <w:rPr>
                <w:bCs/>
                <w:b/>
              </w:rPr>
              <w:t xml:space="preserve">(EC)</w:t>
            </w:r>
            <w:r>
              <w:t xml:space="preserve">”</w:t>
            </w:r>
          </w:p>
        </w:tc>
      </w:tr>
      <w:tr>
        <w:tc>
          <w:tcPr/>
          <w:p>
            <w:pPr>
              <w:pStyle w:val="Compact"/>
              <w:jc w:val="left"/>
            </w:pPr>
            <w:r>
              <w:rPr>
                <w:bCs/>
                <w:b/>
              </w:rPr>
              <w:t xml:space="preserve">P</w:t>
            </w:r>
          </w:p>
        </w:tc>
        <w:tc>
          <w:tcPr/>
          <w:p>
            <w:pPr>
              <w:pStyle w:val="Compact"/>
              <w:jc w:val="left"/>
            </w:pPr>
            <w:r>
              <w:t xml:space="preserve">Politeness /</w:t>
            </w:r>
            <w:r>
              <w:t xml:space="preserve"> </w:t>
            </w:r>
            <w:r>
              <w:t xml:space="preserve">Deference</w:t>
            </w:r>
          </w:p>
        </w:tc>
        <w:tc>
          <w:tcPr/>
          <w:p>
            <w:pPr>
              <w:pStyle w:val="Compact"/>
              <w:jc w:val="left"/>
            </w:pPr>
            <w:r>
              <w:t xml:space="preserve">Shows respect to</w:t>
            </w:r>
            <w:r>
              <w:t xml:space="preserve"> </w:t>
            </w:r>
            <w:r>
              <w:t xml:space="preserve">readers or prior</w:t>
            </w:r>
            <w:r>
              <w:t xml:space="preserve"> </w:t>
            </w:r>
            <w:r>
              <w:t xml:space="preserve">research.</w:t>
            </w:r>
          </w:p>
        </w:tc>
        <w:tc>
          <w:tcPr/>
          <w:p>
            <w:pPr>
              <w:pStyle w:val="Compact"/>
              <w:jc w:val="left"/>
            </w:pPr>
            <w:r>
              <w:t xml:space="preserve">“</w:t>
            </w:r>
            <w:r>
              <w:t xml:space="preserve">As</w:t>
            </w:r>
            <w:r>
              <w:t xml:space="preserve"> </w:t>
            </w:r>
            <w:r>
              <w:rPr>
                <w:bCs/>
                <w:b/>
              </w:rPr>
              <w:t xml:space="preserve">suggested</w:t>
            </w:r>
            <w:r>
              <w:t xml:space="preserve"> </w:t>
            </w:r>
            <w:r>
              <w:t xml:space="preserve">by Hyland (1998).</w:t>
            </w:r>
            <w:r>
              <w:t xml:space="preserve"> </w:t>
            </w:r>
            <w:r>
              <w:rPr>
                <w:bCs/>
                <w:b/>
              </w:rPr>
              <w:t xml:space="preserve">(P)</w:t>
            </w:r>
            <w:r>
              <w:t xml:space="preserve">”</w:t>
            </w:r>
          </w:p>
        </w:tc>
      </w:tr>
      <w:tr>
        <w:tc>
          <w:tcPr/>
          <w:p>
            <w:pPr>
              <w:pStyle w:val="Compact"/>
              <w:jc w:val="left"/>
            </w:pPr>
            <w:r>
              <w:rPr>
                <w:bCs/>
                <w:b/>
              </w:rPr>
              <w:t xml:space="preserve">DO</w:t>
            </w:r>
          </w:p>
        </w:tc>
        <w:tc>
          <w:tcPr/>
          <w:p>
            <w:pPr>
              <w:pStyle w:val="Compact"/>
              <w:jc w:val="left"/>
            </w:pPr>
            <w:r>
              <w:t xml:space="preserve">Discourse</w:t>
            </w:r>
            <w:r>
              <w:t xml:space="preserve"> </w:t>
            </w:r>
            <w:r>
              <w:t xml:space="preserve">Organization</w:t>
            </w:r>
          </w:p>
        </w:tc>
        <w:tc>
          <w:tcPr/>
          <w:p>
            <w:pPr>
              <w:pStyle w:val="Compact"/>
              <w:jc w:val="left"/>
            </w:pPr>
            <w:r>
              <w:t xml:space="preserve">Structures text</w:t>
            </w:r>
            <w:r>
              <w:t xml:space="preserve"> </w:t>
            </w:r>
            <w:r>
              <w:t xml:space="preserve">or guides reader</w:t>
            </w:r>
            <w:r>
              <w:t xml:space="preserve"> </w:t>
            </w:r>
            <w:r>
              <w:t xml:space="preserve">expectations.</w:t>
            </w:r>
          </w:p>
        </w:tc>
        <w:tc>
          <w:tcPr/>
          <w:p>
            <w:pPr>
              <w:pStyle w:val="Compact"/>
              <w:jc w:val="left"/>
            </w:pPr>
            <w:r>
              <w:t xml:space="preserve">“</w:t>
            </w:r>
            <w:r>
              <w:rPr>
                <w:bCs/>
                <w:b/>
              </w:rPr>
              <w:t xml:space="preserve">It should be</w:t>
            </w:r>
            <w:r>
              <w:rPr>
                <w:bCs/>
                <w:b/>
              </w:rPr>
              <w:t xml:space="preserve"> </w:t>
            </w:r>
            <w:r>
              <w:rPr>
                <w:bCs/>
                <w:b/>
              </w:rPr>
              <w:t xml:space="preserve">noted that</w:t>
            </w:r>
            <w:r>
              <w:t xml:space="preserve">.</w:t>
            </w:r>
            <w:r>
              <w:t xml:space="preserve"> </w:t>
            </w:r>
            <w:r>
              <w:rPr>
                <w:bCs/>
                <w:b/>
              </w:rPr>
              <w:t xml:space="preserve">(DO)</w:t>
            </w:r>
            <w:r>
              <w:t xml:space="preserve">”</w:t>
            </w:r>
          </w:p>
        </w:tc>
      </w:tr>
    </w:tbl>
    <w:p>
      <w:pPr>
        <w:pStyle w:val="BodyText"/>
      </w:pPr>
      <w:r>
        <w:rPr>
          <w:bCs/>
          <w:b/>
        </w:rPr>
        <w:t xml:space="preserve">DECISION RULES FOR AMBIGUOUS CASES</w:t>
      </w:r>
    </w:p>
    <w:p>
      <w:pPr>
        <w:pStyle w:val="BodyText"/>
      </w:pPr>
      <w:r>
        <w:t xml:space="preserve">Apply before defaulting to the Working Test.</w:t>
      </w:r>
    </w:p>
    <w:tbl>
      <w:tblPr>
        <w:tblStyle w:val="Table"/>
        <w:tblW w:type="pct" w:w="4865"/>
        <w:tblLook w:firstRow="1" w:lastRow="0" w:firstColumn="0" w:lastColumn="0" w:noHBand="0" w:noVBand="0" w:val="0020"/>
        <w:jc w:val="start"/>
      </w:tblPr>
      <w:tblGrid>
        <w:gridCol w:w="2568"/>
        <w:gridCol w:w="2568"/>
        <w:gridCol w:w="2568"/>
      </w:tblGrid>
      <w:tr>
        <w:trPr>
          <w:tblHeader w:val="true"/>
        </w:trPr>
        <w:tc>
          <w:tcPr/>
          <w:p>
            <w:pPr>
              <w:pStyle w:val="Compact"/>
              <w:jc w:val="left"/>
            </w:pPr>
            <w:r>
              <w:rPr>
                <w:bCs/>
                <w:b/>
              </w:rPr>
              <w:t xml:space="preserve">Token</w:t>
            </w:r>
          </w:p>
        </w:tc>
        <w:tc>
          <w:tcPr/>
          <w:p>
            <w:pPr>
              <w:pStyle w:val="Compact"/>
              <w:jc w:val="left"/>
            </w:pPr>
            <w:r>
              <w:rPr>
                <w:bCs/>
                <w:b/>
              </w:rPr>
              <w:t xml:space="preserve">Hedge When</w:t>
            </w:r>
          </w:p>
        </w:tc>
        <w:tc>
          <w:tcPr/>
          <w:p>
            <w:pPr>
              <w:pStyle w:val="Compact"/>
              <w:jc w:val="left"/>
            </w:pPr>
            <w:r>
              <w:rPr>
                <w:bCs/>
                <w:b/>
              </w:rPr>
              <w:t xml:space="preserve">Not a Hedge When</w:t>
            </w:r>
          </w:p>
        </w:tc>
      </w:tr>
      <w:tr>
        <w:tc>
          <w:tcPr/>
          <w:p>
            <w:pPr>
              <w:pStyle w:val="Compact"/>
              <w:jc w:val="left"/>
            </w:pPr>
            <w:r>
              <w:rPr>
                <w:bCs/>
                <w:b/>
              </w:rPr>
              <w:t xml:space="preserve">suggest / indicate</w:t>
            </w:r>
          </w:p>
        </w:tc>
        <w:tc>
          <w:tcPr/>
          <w:p>
            <w:pPr>
              <w:pStyle w:val="Compact"/>
              <w:jc w:val="left"/>
            </w:pPr>
            <w:r>
              <w:t xml:space="preserve">Expresses uncertainty</w:t>
            </w:r>
            <w:r>
              <w:t xml:space="preserve"> </w:t>
            </w:r>
            <w:r>
              <w:t xml:space="preserve">about a finding or</w:t>
            </w:r>
            <w:r>
              <w:t xml:space="preserve"> </w:t>
            </w:r>
            <w:r>
              <w:t xml:space="preserve">conclusion</w:t>
            </w:r>
          </w:p>
        </w:tc>
        <w:tc>
          <w:tcPr/>
          <w:p>
            <w:pPr>
              <w:pStyle w:val="Compact"/>
              <w:jc w:val="left"/>
            </w:pPr>
            <w:r>
              <w:t xml:space="preserve">Introduces a</w:t>
            </w:r>
            <w:r>
              <w:t xml:space="preserve"> </w:t>
            </w:r>
            <w:r>
              <w:t xml:space="preserve">recommendation or</w:t>
            </w:r>
            <w:r>
              <w:t xml:space="preserve"> </w:t>
            </w:r>
            <w:r>
              <w:t xml:space="preserve">action</w:t>
            </w:r>
          </w:p>
        </w:tc>
      </w:tr>
      <w:tr>
        <w:tc>
          <w:tcPr/>
          <w:p>
            <w:pPr>
              <w:pStyle w:val="Compact"/>
              <w:jc w:val="left"/>
            </w:pPr>
            <w:r>
              <w:rPr>
                <w:bCs/>
                <w:b/>
              </w:rPr>
              <w:t xml:space="preserve">suggest / indicate +</w:t>
            </w:r>
            <w:r>
              <w:rPr>
                <w:bCs/>
                <w:b/>
              </w:rPr>
              <w:t xml:space="preserve"> </w:t>
            </w:r>
            <w:r>
              <w:rPr>
                <w:bCs/>
                <w:b/>
              </w:rPr>
              <w:t xml:space="preserve">need for</w:t>
            </w:r>
          </w:p>
        </w:tc>
        <w:tc>
          <w:tcPr/>
          <w:p>
            <w:pPr>
              <w:pStyle w:val="Compact"/>
              <w:jc w:val="left"/>
            </w:pPr>
            <w:r>
              <w:t xml:space="preserve">Says the evidence</w:t>
            </w:r>
            <w:r>
              <w:t xml:space="preserve"> </w:t>
            </w:r>
            <w:r>
              <w:t xml:space="preserve">suggests a need may</w:t>
            </w:r>
            <w:r>
              <w:t xml:space="preserve"> </w:t>
            </w:r>
            <w:r>
              <w:t xml:space="preserve">exist</w:t>
            </w:r>
          </w:p>
        </w:tc>
        <w:tc>
          <w:tcPr/>
          <w:p>
            <w:pPr>
              <w:pStyle w:val="Compact"/>
              <w:jc w:val="left"/>
            </w:pPr>
            <w:r>
              <w:t xml:space="preserve">Says what should be</w:t>
            </w:r>
            <w:r>
              <w:t xml:space="preserve"> </w:t>
            </w:r>
            <w:r>
              <w:t xml:space="preserve">done or is needed</w:t>
            </w:r>
          </w:p>
        </w:tc>
      </w:tr>
      <w:tr>
        <w:tc>
          <w:tcPr/>
          <w:p>
            <w:pPr>
              <w:pStyle w:val="Compact"/>
              <w:jc w:val="left"/>
            </w:pPr>
            <w:r>
              <w:rPr>
                <w:bCs/>
                <w:b/>
              </w:rPr>
              <w:t xml:space="preserve">indicated by</w:t>
            </w:r>
          </w:p>
        </w:tc>
        <w:tc>
          <w:tcPr/>
          <w:p>
            <w:pPr>
              <w:pStyle w:val="Compact"/>
              <w:jc w:val="left"/>
            </w:pPr>
            <w:r>
              <w:t xml:space="preserve">Introduces a conclusion</w:t>
            </w:r>
            <w:r>
              <w:t xml:space="preserve"> </w:t>
            </w:r>
            <w:r>
              <w:t xml:space="preserve">drawn from evidence</w:t>
            </w:r>
          </w:p>
        </w:tc>
        <w:tc>
          <w:tcPr/>
          <w:p>
            <w:pPr>
              <w:pStyle w:val="Compact"/>
              <w:jc w:val="left"/>
            </w:pPr>
            <w:r>
              <w:t xml:space="preserve">Points to evidence for</w:t>
            </w:r>
            <w:r>
              <w:t xml:space="preserve"> </w:t>
            </w:r>
            <w:r>
              <w:t xml:space="preserve">a claim already stated</w:t>
            </w:r>
          </w:p>
        </w:tc>
      </w:tr>
      <w:tr>
        <w:tc>
          <w:tcPr/>
          <w:p>
            <w:pPr>
              <w:pStyle w:val="Compact"/>
              <w:jc w:val="left"/>
            </w:pPr>
            <w:r>
              <w:rPr>
                <w:bCs/>
                <w:b/>
              </w:rPr>
              <w:t xml:space="preserve">indicate / indicates</w:t>
            </w:r>
            <w:r>
              <w:rPr>
                <w:bCs/>
                <w:b/>
              </w:rPr>
              <w:t xml:space="preserve"> </w:t>
            </w:r>
            <w:r>
              <w:rPr>
                <w:bCs/>
                <w:b/>
              </w:rPr>
              <w:t xml:space="preserve">that</w:t>
            </w:r>
          </w:p>
        </w:tc>
        <w:tc>
          <w:tcPr/>
          <w:p>
            <w:pPr>
              <w:pStyle w:val="Compact"/>
              <w:jc w:val="left"/>
            </w:pPr>
            <w:r>
              <w:t xml:space="preserve">Introduces an</w:t>
            </w:r>
            <w:r>
              <w:t xml:space="preserve"> </w:t>
            </w:r>
            <w:r>
              <w:t xml:space="preserve">inferential conclusion</w:t>
            </w:r>
            <w:r>
              <w:t xml:space="preserve"> </w:t>
            </w:r>
            <w:r>
              <w:t xml:space="preserve">drawn from analysis</w:t>
            </w:r>
          </w:p>
        </w:tc>
        <w:tc>
          <w:tcPr/>
          <w:p>
            <w:pPr>
              <w:pStyle w:val="Compact"/>
              <w:jc w:val="left"/>
            </w:pPr>
            <w:r>
              <w:t xml:space="preserve">Used as a synonym for</w:t>
            </w:r>
            <w:r>
              <w:t xml:space="preserve"> </w:t>
            </w:r>
            <w:r>
              <w:t xml:space="preserve">showed/demonstrated</w:t>
            </w:r>
            <w:r>
              <w:t xml:space="preserve"> </w:t>
            </w:r>
            <w:r>
              <w:t xml:space="preserve">(factive reporting)</w:t>
            </w:r>
          </w:p>
        </w:tc>
      </w:tr>
      <w:tr>
        <w:tc>
          <w:tcPr/>
          <w:p>
            <w:pPr>
              <w:pStyle w:val="Compact"/>
              <w:jc w:val="left"/>
            </w:pPr>
            <w:r>
              <w:rPr>
                <w:bCs/>
                <w:b/>
              </w:rPr>
              <w:t xml:space="preserve">indicating</w:t>
            </w:r>
            <w:r>
              <w:rPr>
                <w:bCs/>
                <w:b/>
              </w:rPr>
              <w:t xml:space="preserve"> </w:t>
            </w:r>
            <w:r>
              <w:rPr>
                <w:bCs/>
                <w:b/>
              </w:rPr>
              <w:t xml:space="preserve">(participial)</w:t>
            </w:r>
          </w:p>
        </w:tc>
        <w:tc>
          <w:tcPr/>
          <w:p>
            <w:pPr>
              <w:pStyle w:val="Compact"/>
              <w:jc w:val="left"/>
            </w:pPr>
            <w:r>
              <w:t xml:space="preserve">Introduces an inference</w:t>
            </w:r>
            <w:r>
              <w:t xml:space="preserve"> </w:t>
            </w:r>
            <w:r>
              <w:t xml:space="preserve">beyond the operational</w:t>
            </w:r>
            <w:r>
              <w:t xml:space="preserve"> </w:t>
            </w:r>
            <w:r>
              <w:t xml:space="preserve">definition of the</w:t>
            </w:r>
            <w:r>
              <w:t xml:space="preserve"> </w:t>
            </w:r>
            <w:r>
              <w:t xml:space="preserve">result</w:t>
            </w:r>
          </w:p>
        </w:tc>
        <w:tc>
          <w:tcPr/>
          <w:p>
            <w:pPr>
              <w:pStyle w:val="Compact"/>
              <w:jc w:val="left"/>
            </w:pPr>
            <w:r>
              <w:t xml:space="preserve">Restates the</w:t>
            </w:r>
            <w:r>
              <w:t xml:space="preserve"> </w:t>
            </w:r>
            <w:r>
              <w:t xml:space="preserve">operational meaning of</w:t>
            </w:r>
            <w:r>
              <w:t xml:space="preserve"> </w:t>
            </w:r>
            <w:r>
              <w:t xml:space="preserve">statistical</w:t>
            </w:r>
            <w:r>
              <w:t xml:space="preserve"> </w:t>
            </w:r>
            <w:r>
              <w:t xml:space="preserve">significance</w:t>
            </w:r>
          </w:p>
        </w:tc>
      </w:tr>
      <w:tr>
        <w:tc>
          <w:tcPr/>
          <w:p>
            <w:pPr>
              <w:pStyle w:val="Compact"/>
              <w:jc w:val="left"/>
            </w:pPr>
            <w:r>
              <w:rPr>
                <w:bCs/>
                <w:b/>
              </w:rPr>
              <w:t xml:space="preserve">can / may</w:t>
            </w:r>
          </w:p>
        </w:tc>
        <w:tc>
          <w:tcPr/>
          <w:p>
            <w:pPr>
              <w:pStyle w:val="Compact"/>
              <w:jc w:val="left"/>
            </w:pPr>
            <w:r>
              <w:t xml:space="preserve">Expresses possibility</w:t>
            </w:r>
          </w:p>
        </w:tc>
        <w:tc>
          <w:tcPr/>
          <w:p>
            <w:pPr>
              <w:pStyle w:val="Compact"/>
              <w:jc w:val="left"/>
            </w:pPr>
            <w:r>
              <w:t xml:space="preserve">Expresses capability</w:t>
            </w:r>
          </w:p>
        </w:tc>
      </w:tr>
      <w:tr>
        <w:tc>
          <w:tcPr/>
          <w:p>
            <w:pPr>
              <w:pStyle w:val="Compact"/>
              <w:jc w:val="left"/>
            </w:pPr>
            <w:r>
              <w:rPr>
                <w:bCs/>
                <w:b/>
              </w:rPr>
              <w:t xml:space="preserve">generally /</w:t>
            </w:r>
            <w:r>
              <w:rPr>
                <w:bCs/>
                <w:b/>
              </w:rPr>
              <w:t xml:space="preserve"> </w:t>
            </w:r>
            <w:r>
              <w:rPr>
                <w:bCs/>
                <w:b/>
              </w:rPr>
              <w:t xml:space="preserve">typically</w:t>
            </w:r>
          </w:p>
        </w:tc>
        <w:tc>
          <w:tcPr/>
          <w:p>
            <w:pPr>
              <w:pStyle w:val="Compact"/>
              <w:jc w:val="left"/>
            </w:pPr>
            <w:r>
              <w:t xml:space="preserve">Qualifies scope</w:t>
            </w:r>
          </w:p>
        </w:tc>
        <w:tc>
          <w:tcPr/>
          <w:p>
            <w:pPr>
              <w:pStyle w:val="Compact"/>
              <w:jc w:val="left"/>
            </w:pPr>
            <w:r>
              <w:t xml:space="preserve">Describes a procedural</w:t>
            </w:r>
            <w:r>
              <w:t xml:space="preserve"> </w:t>
            </w:r>
            <w:r>
              <w:t xml:space="preserve">norm</w:t>
            </w:r>
          </w:p>
        </w:tc>
      </w:tr>
      <w:tr>
        <w:tc>
          <w:tcPr/>
          <w:p>
            <w:pPr>
              <w:pStyle w:val="Compact"/>
              <w:jc w:val="left"/>
            </w:pPr>
            <w:r>
              <w:rPr>
                <w:bCs/>
                <w:b/>
              </w:rPr>
              <w:t xml:space="preserve">appear / seem</w:t>
            </w:r>
          </w:p>
        </w:tc>
        <w:tc>
          <w:tcPr/>
          <w:p>
            <w:pPr>
              <w:pStyle w:val="Compact"/>
              <w:jc w:val="left"/>
            </w:pPr>
            <w:r>
              <w:t xml:space="preserve">Expresses result</w:t>
            </w:r>
            <w:r>
              <w:t xml:space="preserve"> </w:t>
            </w:r>
            <w:r>
              <w:t xml:space="preserve">uncertainty</w:t>
            </w:r>
          </w:p>
        </w:tc>
        <w:tc>
          <w:tcPr/>
          <w:p>
            <w:pPr>
              <w:pStyle w:val="Compact"/>
              <w:jc w:val="left"/>
            </w:pPr>
            <w:r>
              <w:t xml:space="preserve">Indicates location</w:t>
            </w:r>
          </w:p>
        </w:tc>
      </w:tr>
    </w:tbl>
    <w:p>
      <w:pPr>
        <w:pStyle w:val="BodyText"/>
      </w:pPr>
      <w:r>
        <w:rPr>
          <w:bCs/>
          <w:b/>
          <w:iCs/>
          <w:i/>
        </w:rPr>
        <w:t xml:space="preserve">General exclusions:</w:t>
      </w:r>
      <w:r>
        <w:rPr>
          <w:iCs/>
          <w:i/>
        </w:rPr>
        <w:t xml:space="preserve"> </w:t>
      </w:r>
      <w:r>
        <w:rPr>
          <w:iCs/>
          <w:i/>
        </w:rPr>
        <w:t xml:space="preserve">ability, future procedure, and procedural</w:t>
      </w:r>
      <w:r>
        <w:rPr>
          <w:iCs/>
          <w:i/>
        </w:rPr>
        <w:t xml:space="preserve"> </w:t>
      </w:r>
      <w:r>
        <w:rPr>
          <w:iCs/>
          <w:i/>
        </w:rPr>
        <w:t xml:space="preserve">necessity (a step required by the procedure itself) are never coded as</w:t>
      </w:r>
      <w:r>
        <w:rPr>
          <w:iCs/>
          <w:i/>
        </w:rPr>
        <w:t xml:space="preserve"> </w:t>
      </w:r>
      <w:r>
        <w:rPr>
          <w:iCs/>
          <w:i/>
        </w:rPr>
        <w:t xml:space="preserve">hedges.</w:t>
      </w:r>
    </w:p>
    <w:p>
      <w:pPr>
        <w:pStyle w:val="BodyText"/>
      </w:pPr>
      <w:r>
        <w:rPr>
          <w:iCs/>
          <w:i/>
        </w:rPr>
        <w:t xml:space="preserve">Quick test for</w:t>
      </w:r>
      <w:r>
        <w:rPr>
          <w:iCs/>
          <w:i/>
        </w:rPr>
        <w:t xml:space="preserve"> </w:t>
      </w:r>
      <w:r>
        <w:rPr>
          <w:bCs/>
          <w:b/>
          <w:iCs/>
          <w:i/>
        </w:rPr>
        <w:t xml:space="preserve">suggest/indicate</w:t>
      </w:r>
      <w:r>
        <w:rPr>
          <w:iCs/>
          <w:i/>
        </w:rPr>
        <w:t xml:space="preserve">:</w:t>
      </w:r>
      <w:r>
        <w:rPr>
          <w:iCs/>
          <w:i/>
        </w:rPr>
        <w:t xml:space="preserve"> </w:t>
      </w:r>
      <w:r>
        <w:rPr>
          <w:iCs/>
          <w:i/>
        </w:rPr>
        <w:t xml:space="preserve">“</w:t>
      </w:r>
      <w:r>
        <w:rPr>
          <w:iCs/>
          <w:i/>
        </w:rPr>
        <w:t xml:space="preserve">Might this be true?</w:t>
      </w:r>
      <w:r>
        <w:rPr>
          <w:iCs/>
          <w:i/>
        </w:rPr>
        <w:t xml:space="preserve">”</w:t>
      </w:r>
      <w:r>
        <w:rPr>
          <w:iCs/>
          <w:i/>
        </w:rPr>
        <w:t xml:space="preserve"> </w:t>
      </w:r>
      <w:r>
        <w:rPr>
          <w:iCs/>
          <w:i/>
        </w:rPr>
        <w:t xml:space="preserve">= hedge.</w:t>
      </w:r>
      <w:r>
        <w:rPr>
          <w:iCs/>
          <w:i/>
        </w:rPr>
        <w:t xml:space="preserve"> </w:t>
      </w:r>
      <w:r>
        <w:rPr>
          <w:iCs/>
          <w:i/>
        </w:rPr>
        <w:t xml:space="preserve">“</w:t>
      </w:r>
      <w:r>
        <w:rPr>
          <w:iCs/>
          <w:i/>
        </w:rPr>
        <w:t xml:space="preserve">Should this be done?</w:t>
      </w:r>
      <w:r>
        <w:rPr>
          <w:iCs/>
          <w:i/>
        </w:rPr>
        <w:t xml:space="preserve">”</w:t>
      </w:r>
      <w:r>
        <w:rPr>
          <w:iCs/>
          <w:i/>
        </w:rPr>
        <w:t xml:space="preserve"> </w:t>
      </w:r>
      <w:r>
        <w:rPr>
          <w:iCs/>
          <w:i/>
        </w:rPr>
        <w:t xml:space="preserve">= FP-Rec.</w:t>
      </w:r>
    </w:p>
    <w:p>
      <w:pPr>
        <w:pStyle w:val="BodyText"/>
      </w:pPr>
      <w:r>
        <w:rPr>
          <w:bCs/>
          <w:b/>
        </w:rPr>
        <w:t xml:space="preserve">MARKING FALSE POSITIVES</w:t>
      </w:r>
    </w:p>
    <w:p>
      <w:pPr>
        <w:pStyle w:val="BodyText"/>
      </w:pPr>
      <w:r>
        <w:t xml:space="preserve">Strike through a hedge-like token that fails the Working Test. Write the</w:t>
      </w:r>
      <w:r>
        <w:t xml:space="preserve"> </w:t>
      </w:r>
      <w:r>
        <w:t xml:space="preserve">reason code beside it in grey text.</w:t>
      </w:r>
    </w:p>
    <w:tbl>
      <w:tblPr>
        <w:tblStyle w:val="Table"/>
        <w:tblW w:type="pct" w:w="4865"/>
        <w:tblLook w:firstRow="1" w:lastRow="0" w:firstColumn="0" w:lastColumn="0" w:noHBand="0" w:noVBand="0" w:val="0020"/>
        <w:jc w:val="start"/>
      </w:tblPr>
      <w:tblGrid>
        <w:gridCol w:w="2568"/>
        <w:gridCol w:w="2568"/>
        <w:gridCol w:w="2568"/>
      </w:tblGrid>
      <w:tr>
        <w:trPr>
          <w:tblHeader w:val="true"/>
        </w:trPr>
        <w:tc>
          <w:tcPr/>
          <w:p>
            <w:pPr>
              <w:pStyle w:val="Compact"/>
              <w:jc w:val="left"/>
            </w:pPr>
            <w:r>
              <w:rPr>
                <w:bCs/>
                <w:b/>
              </w:rPr>
              <w:t xml:space="preserve">Code</w:t>
            </w:r>
          </w:p>
        </w:tc>
        <w:tc>
          <w:tcPr/>
          <w:p>
            <w:pPr>
              <w:pStyle w:val="Compact"/>
              <w:jc w:val="left"/>
            </w:pPr>
            <w:r>
              <w:rPr>
                <w:bCs/>
                <w:b/>
              </w:rPr>
              <w:t xml:space="preserve">Reason</w:t>
            </w:r>
          </w:p>
        </w:tc>
        <w:tc>
          <w:tcPr/>
          <w:p>
            <w:pPr>
              <w:pStyle w:val="Compact"/>
              <w:jc w:val="left"/>
            </w:pPr>
            <w:r>
              <w:rPr>
                <w:bCs/>
                <w:b/>
              </w:rPr>
              <w:t xml:space="preserve">Marked Example</w:t>
            </w:r>
          </w:p>
        </w:tc>
      </w:tr>
      <w:tr>
        <w:tc>
          <w:tcPr/>
          <w:p>
            <w:pPr>
              <w:pStyle w:val="Compact"/>
              <w:jc w:val="left"/>
            </w:pPr>
            <w:r>
              <w:rPr>
                <w:bCs/>
                <w:b/>
              </w:rPr>
              <w:t xml:space="preserve">FP-Cap</w:t>
            </w:r>
          </w:p>
        </w:tc>
        <w:tc>
          <w:tcPr/>
          <w:p>
            <w:pPr>
              <w:pStyle w:val="Compact"/>
              <w:jc w:val="left"/>
            </w:pPr>
            <w:r>
              <w:t xml:space="preserve">Capability: describes</w:t>
            </w:r>
            <w:r>
              <w:t xml:space="preserve"> </w:t>
            </w:r>
            <w:r>
              <w:t xml:space="preserve">what something is able</w:t>
            </w:r>
            <w:r>
              <w:t xml:space="preserve"> </w:t>
            </w:r>
            <w:r>
              <w:t xml:space="preserve">to do, not uncertainty</w:t>
            </w:r>
            <w:r>
              <w:t xml:space="preserve"> </w:t>
            </w:r>
            <w:r>
              <w:t xml:space="preserve">about whether it will</w:t>
            </w:r>
            <w:r>
              <w:t xml:space="preserve"> </w:t>
            </w:r>
            <w:r>
              <w:t xml:space="preserve">happen. Distinct from</w:t>
            </w:r>
            <w:r>
              <w:t xml:space="preserve"> </w:t>
            </w:r>
            <w:r>
              <w:t xml:space="preserve">inferential</w:t>
            </w:r>
            <w:r>
              <w:t xml:space="preserve"> </w:t>
            </w:r>
            <w:r>
              <w:t xml:space="preserve">“</w:t>
            </w:r>
            <w:r>
              <w:t xml:space="preserve">can be</w:t>
            </w:r>
            <w:r>
              <w:t xml:space="preserve"> </w:t>
            </w:r>
            <w:r>
              <w:t xml:space="preserve">concluded / derived /</w:t>
            </w:r>
            <w:r>
              <w:t xml:space="preserve"> </w:t>
            </w:r>
            <w:r>
              <w:t xml:space="preserve">stated / attributed to</w:t>
            </w:r>
            <w:r>
              <w:t xml:space="preserve"> </w:t>
            </w:r>
            <w:r>
              <w:t xml:space="preserve">/ seen as,</w:t>
            </w:r>
            <w:r>
              <w:t xml:space="preserve">”</w:t>
            </w:r>
            <w:r>
              <w:t xml:space="preserve"> </w:t>
            </w:r>
            <w:r>
              <w:t xml:space="preserve">which stays</w:t>
            </w:r>
            <w:r>
              <w:t xml:space="preserve"> </w:t>
            </w:r>
            <w:r>
              <w:t xml:space="preserve">a hedge.</w:t>
            </w:r>
          </w:p>
        </w:tc>
        <w:tc>
          <w:tcPr/>
          <w:p>
            <w:pPr>
              <w:pStyle w:val="Compact"/>
              <w:jc w:val="left"/>
            </w:pPr>
            <w:r>
              <w:t xml:space="preserve">“</w:t>
            </w:r>
            <w:r>
              <w:t xml:space="preserve">PCR</w:t>
            </w:r>
            <w:r>
              <w:t xml:space="preserve"> </w:t>
            </w:r>
            <w:r>
              <w:rPr>
                <w:strike/>
                <w:bCs/>
                <w:b/>
              </w:rPr>
              <w:t xml:space="preserve">can</w:t>
            </w:r>
            <w:r>
              <w:t xml:space="preserve"> </w:t>
            </w:r>
            <w:r>
              <w:t xml:space="preserve">(FP-Cap) detect low</w:t>
            </w:r>
            <w:r>
              <w:t xml:space="preserve"> </w:t>
            </w:r>
            <w:r>
              <w:t xml:space="preserve">concentrations.</w:t>
            </w:r>
            <w:r>
              <w:t xml:space="preserve">”</w:t>
            </w:r>
          </w:p>
        </w:tc>
      </w:tr>
      <w:tr>
        <w:tc>
          <w:tcPr/>
          <w:p>
            <w:pPr>
              <w:pStyle w:val="Compact"/>
              <w:jc w:val="left"/>
            </w:pPr>
            <w:r>
              <w:rPr>
                <w:bCs/>
                <w:b/>
              </w:rPr>
              <w:t xml:space="preserve">FP-Rec</w:t>
            </w:r>
          </w:p>
        </w:tc>
        <w:tc>
          <w:tcPr/>
          <w:p>
            <w:pPr>
              <w:pStyle w:val="Compact"/>
              <w:jc w:val="left"/>
            </w:pPr>
            <w:r>
              <w:t xml:space="preserve">Recommendation:</w:t>
            </w:r>
            <w:r>
              <w:t xml:space="preserve"> </w:t>
            </w:r>
            <w:r>
              <w:t xml:space="preserve">expresses what should,</w:t>
            </w:r>
            <w:r>
              <w:t xml:space="preserve"> </w:t>
            </w:r>
            <w:r>
              <w:t xml:space="preserve">needs to, or ought to</w:t>
            </w:r>
            <w:r>
              <w:t xml:space="preserve"> </w:t>
            </w:r>
            <w:r>
              <w:t xml:space="preserve">be done, not</w:t>
            </w:r>
            <w:r>
              <w:t xml:space="preserve"> </w:t>
            </w:r>
            <w:r>
              <w:t xml:space="preserve">uncertainty about a</w:t>
            </w:r>
            <w:r>
              <w:t xml:space="preserve"> </w:t>
            </w:r>
            <w:r>
              <w:t xml:space="preserve">claim.</w:t>
            </w:r>
          </w:p>
        </w:tc>
        <w:tc>
          <w:tcPr/>
          <w:p>
            <w:pPr>
              <w:pStyle w:val="Compact"/>
              <w:jc w:val="left"/>
            </w:pPr>
            <w:r>
              <w:t xml:space="preserve">“</w:t>
            </w:r>
            <w:r>
              <w:t xml:space="preserve">We</w:t>
            </w:r>
            <w:r>
              <w:t xml:space="preserve"> </w:t>
            </w:r>
            <w:r>
              <w:rPr>
                <w:strike/>
                <w:bCs/>
                <w:b/>
              </w:rPr>
              <w:t xml:space="preserve">suggest</w:t>
            </w:r>
            <w:r>
              <w:t xml:space="preserve"> </w:t>
            </w:r>
            <w:r>
              <w:t xml:space="preserve">(FP-Rec) further</w:t>
            </w:r>
            <w:r>
              <w:t xml:space="preserve"> </w:t>
            </w:r>
            <w:r>
              <w:t xml:space="preserve">research.</w:t>
            </w:r>
            <w:r>
              <w:t xml:space="preserve">”</w:t>
            </w:r>
          </w:p>
        </w:tc>
      </w:tr>
      <w:tr>
        <w:tc>
          <w:tcPr/>
          <w:p>
            <w:pPr>
              <w:pStyle w:val="Compact"/>
              <w:jc w:val="left"/>
            </w:pPr>
            <w:r>
              <w:rPr>
                <w:bCs/>
                <w:b/>
              </w:rPr>
              <w:t xml:space="preserve">FP-Proc</w:t>
            </w:r>
          </w:p>
        </w:tc>
        <w:tc>
          <w:tcPr/>
          <w:p>
            <w:pPr>
              <w:pStyle w:val="Compact"/>
              <w:jc w:val="left"/>
            </w:pPr>
            <w:r>
              <w:t xml:space="preserve">Procedural norm:</w:t>
            </w:r>
            <w:r>
              <w:t xml:space="preserve"> </w:t>
            </w:r>
            <w:r>
              <w:t xml:space="preserve">describes a routine,</w:t>
            </w:r>
            <w:r>
              <w:t xml:space="preserve"> </w:t>
            </w:r>
            <w:r>
              <w:t xml:space="preserve">standard, or</w:t>
            </w:r>
            <w:r>
              <w:t xml:space="preserve"> </w:t>
            </w:r>
            <w:r>
              <w:t xml:space="preserve">established procedure</w:t>
            </w:r>
            <w:r>
              <w:t xml:space="preserve"> </w:t>
            </w:r>
            <w:r>
              <w:t xml:space="preserve">rather than uncertainty</w:t>
            </w:r>
            <w:r>
              <w:t xml:space="preserve"> </w:t>
            </w:r>
            <w:r>
              <w:t xml:space="preserve">about a claim.</w:t>
            </w:r>
          </w:p>
        </w:tc>
        <w:tc>
          <w:tcPr/>
          <w:p>
            <w:pPr>
              <w:pStyle w:val="Compact"/>
              <w:jc w:val="left"/>
            </w:pPr>
            <w:r>
              <w:t xml:space="preserve">“</w:t>
            </w:r>
            <w:r>
              <w:t xml:space="preserve">Samples were</w:t>
            </w:r>
            <w:r>
              <w:t xml:space="preserve"> </w:t>
            </w:r>
            <w:r>
              <w:rPr>
                <w:strike/>
                <w:bCs/>
                <w:b/>
              </w:rPr>
              <w:t xml:space="preserve">generally</w:t>
            </w:r>
            <w:r>
              <w:t xml:space="preserve"> </w:t>
            </w:r>
            <w:r>
              <w:t xml:space="preserve">(FP-Proc) stored at</w:t>
            </w:r>
            <w:r>
              <w:t xml:space="preserve"> </w:t>
            </w:r>
            <w:r>
              <w:t xml:space="preserve">4°C.</w:t>
            </w:r>
            <w:r>
              <w:t xml:space="preserve">”</w:t>
            </w:r>
          </w:p>
        </w:tc>
      </w:tr>
      <w:tr>
        <w:tc>
          <w:tcPr/>
          <w:p>
            <w:pPr>
              <w:pStyle w:val="Compact"/>
              <w:jc w:val="left"/>
            </w:pPr>
            <w:r>
              <w:rPr>
                <w:bCs/>
                <w:b/>
              </w:rPr>
              <w:t xml:space="preserve">FP-Loc</w:t>
            </w:r>
          </w:p>
        </w:tc>
        <w:tc>
          <w:tcPr/>
          <w:p>
            <w:pPr>
              <w:pStyle w:val="Compact"/>
              <w:jc w:val="left"/>
            </w:pPr>
            <w:r>
              <w:t xml:space="preserve">Location: indicates</w:t>
            </w:r>
            <w:r>
              <w:t xml:space="preserve"> </w:t>
            </w:r>
            <w:r>
              <w:t xml:space="preserve">physical or textual</w:t>
            </w:r>
            <w:r>
              <w:t xml:space="preserve"> </w:t>
            </w:r>
            <w:r>
              <w:t xml:space="preserve">location.</w:t>
            </w:r>
          </w:p>
        </w:tc>
        <w:tc>
          <w:tcPr/>
          <w:p>
            <w:pPr>
              <w:pStyle w:val="Compact"/>
              <w:jc w:val="left"/>
            </w:pPr>
            <w:r>
              <w:t xml:space="preserve">“</w:t>
            </w:r>
            <w:r>
              <w:t xml:space="preserve">The results</w:t>
            </w:r>
            <w:r>
              <w:t xml:space="preserve"> </w:t>
            </w:r>
            <w:r>
              <w:rPr>
                <w:strike/>
                <w:bCs/>
                <w:b/>
              </w:rPr>
              <w:t xml:space="preserve">appear</w:t>
            </w:r>
            <w:r>
              <w:t xml:space="preserve"> </w:t>
            </w:r>
            <w:r>
              <w:t xml:space="preserve">(FP-Loc)</w:t>
            </w:r>
            <w:r>
              <w:t xml:space="preserve"> </w:t>
            </w:r>
            <w:r>
              <w:t xml:space="preserve">in Table 1.</w:t>
            </w:r>
            <w:r>
              <w:t xml:space="preserve">”</w:t>
            </w:r>
          </w:p>
        </w:tc>
      </w:tr>
      <w:tr>
        <w:tc>
          <w:tcPr/>
          <w:p>
            <w:pPr>
              <w:pStyle w:val="Compact"/>
              <w:jc w:val="left"/>
            </w:pPr>
            <w:r>
              <w:rPr>
                <w:bCs/>
                <w:b/>
              </w:rPr>
              <w:t xml:space="preserve">FP-Gen</w:t>
            </w:r>
          </w:p>
        </w:tc>
        <w:tc>
          <w:tcPr/>
          <w:p>
            <w:pPr>
              <w:pStyle w:val="Compact"/>
              <w:jc w:val="left"/>
            </w:pPr>
            <w:r>
              <w:t xml:space="preserve">General exclusion:</w:t>
            </w:r>
            <w:r>
              <w:t xml:space="preserve"> </w:t>
            </w:r>
            <w:r>
              <w:t xml:space="preserve">doesn’t fit the codes</w:t>
            </w:r>
            <w:r>
              <w:t xml:space="preserve"> </w:t>
            </w:r>
            <w:r>
              <w:t xml:space="preserve">above. Use for</w:t>
            </w:r>
            <w:r>
              <w:t xml:space="preserve"> </w:t>
            </w:r>
            <w:r>
              <w:t xml:space="preserve">expressions that look</w:t>
            </w:r>
            <w:r>
              <w:t xml:space="preserve"> </w:t>
            </w:r>
            <w:r>
              <w:t xml:space="preserve">hedge-like but don’t</w:t>
            </w:r>
            <w:r>
              <w:t xml:space="preserve"> </w:t>
            </w:r>
            <w:r>
              <w:t xml:space="preserve">express uncertainty</w:t>
            </w:r>
            <w:r>
              <w:t xml:space="preserve"> </w:t>
            </w:r>
            <w:r>
              <w:t xml:space="preserve">(e.g., naming a</w:t>
            </w:r>
            <w:r>
              <w:t xml:space="preserve"> </w:t>
            </w:r>
            <w:r>
              <w:t xml:space="preserve">research topic,</w:t>
            </w:r>
            <w:r>
              <w:t xml:space="preserve"> </w:t>
            </w:r>
            <w:r>
              <w:t xml:space="preserve">pointing to evidence).</w:t>
            </w:r>
            <w:r>
              <w:t xml:space="preserve"> </w:t>
            </w:r>
            <w:r>
              <w:t xml:space="preserve">Note the specific</w:t>
            </w:r>
            <w:r>
              <w:t xml:space="preserve"> </w:t>
            </w:r>
            <w:r>
              <w:t xml:space="preserve">reason in Coder Notes.</w:t>
            </w:r>
          </w:p>
        </w:tc>
        <w:tc>
          <w:tcPr/>
          <w:p>
            <w:pPr>
              <w:pStyle w:val="Compact"/>
              <w:jc w:val="left"/>
            </w:pPr>
            <w:r>
              <w:t xml:space="preserve">“</w:t>
            </w:r>
            <w:r>
              <w:t xml:space="preserve">...demonstrated</w:t>
            </w:r>
            <w:r>
              <w:t xml:space="preserve"> </w:t>
            </w:r>
            <w:r>
              <w:t xml:space="preserve">notable antioxidant</w:t>
            </w:r>
            <w:r>
              <w:t xml:space="preserve"> </w:t>
            </w:r>
            <w:r>
              <w:t xml:space="preserve">activity, as</w:t>
            </w:r>
            <w:r>
              <w:t xml:space="preserve"> </w:t>
            </w:r>
            <w:r>
              <w:rPr>
                <w:strike/>
                <w:bCs/>
                <w:b/>
              </w:rPr>
              <w:t xml:space="preserve">indicated</w:t>
            </w:r>
            <w:r>
              <w:t xml:space="preserve"> </w:t>
            </w:r>
            <w:r>
              <w:t xml:space="preserve">(FP-Gen) by the</w:t>
            </w:r>
            <w:r>
              <w:t xml:space="preserve"> </w:t>
            </w:r>
            <w:r>
              <w:t xml:space="preserve">reduction of DPPH</w:t>
            </w:r>
            <w:r>
              <w:t xml:space="preserve"> </w:t>
            </w:r>
            <w:r>
              <w:t xml:space="preserve">radicals.</w:t>
            </w:r>
            <w:r>
              <w:t xml:space="preserve">”</w:t>
            </w:r>
          </w:p>
        </w:tc>
      </w:tr>
    </w:tbl>
    <w:p>
      <w:pPr>
        <w:pStyle w:val="BodyText"/>
      </w:pPr>
      <w:r>
        <w:rPr>
          <w:bCs/>
          <w:b/>
        </w:rPr>
        <w:t xml:space="preserve">LAYER 3 (OPTIONAL): UNHEDGED ASSERTION SITES (NEUTRAL GREY)</w:t>
      </w:r>
    </w:p>
    <w:p>
      <w:pPr>
        <w:pStyle w:val="BodyText"/>
      </w:pPr>
      <w:r>
        <w:t xml:space="preserve">Marks claim-bearing clauses stated directly and confidently without a</w:t>
      </w:r>
      <w:r>
        <w:t xml:space="preserve"> </w:t>
      </w:r>
      <w:r>
        <w:t xml:space="preserve">hedge. Reverse test: if a hedge could be inserted without changing the</w:t>
      </w:r>
      <w:r>
        <w:t xml:space="preserve"> </w:t>
      </w:r>
      <w:r>
        <w:t xml:space="preserve">facts, the clause is markable. Procedural statements are never markable.</w:t>
      </w:r>
      <w:r>
        <w:t xml:space="preserve"> </w:t>
      </w:r>
      <w:r>
        <w:t xml:space="preserve">Example:</w:t>
      </w:r>
      <w:r>
        <w:t xml:space="preserve"> </w:t>
      </w:r>
      <w:r>
        <w:rPr>
          <w:iCs/>
          <w:i/>
        </w:rPr>
        <w:t xml:space="preserve">“</w:t>
      </w:r>
      <w:r>
        <w:rPr>
          <w:iCs/>
          <w:i/>
        </w:rPr>
        <w:t xml:space="preserve">Results showed X</w:t>
      </w:r>
      <w:r>
        <w:rPr>
          <w:iCs/>
          <w:i/>
        </w:rPr>
        <w:t xml:space="preserve">”</w:t>
      </w:r>
      <w:r>
        <w:t xml:space="preserve"> </w:t>
      </w:r>
      <w:r>
        <w:t xml:space="preserve">could take a hedge (</w:t>
      </w:r>
      <w:r>
        <w:rPr>
          <w:iCs/>
          <w:i/>
        </w:rPr>
        <w:t xml:space="preserve">“</w:t>
      </w:r>
      <w:r>
        <w:rPr>
          <w:iCs/>
          <w:i/>
        </w:rPr>
        <w:t xml:space="preserve">Results suggested</w:t>
      </w:r>
      <w:r>
        <w:rPr>
          <w:iCs/>
          <w:i/>
        </w:rPr>
        <w:t xml:space="preserve"> </w:t>
      </w:r>
      <w:r>
        <w:rPr>
          <w:iCs/>
          <w:i/>
        </w:rPr>
        <w:t xml:space="preserve">X</w:t>
      </w:r>
      <w:r>
        <w:rPr>
          <w:iCs/>
          <w:i/>
        </w:rPr>
        <w:t xml:space="preserve">”</w:t>
      </w:r>
      <w:r>
        <w:t xml:space="preserve">) without changing the underlying finding, so it is markable.</w:t>
      </w:r>
    </w:p>
    <w:tbl>
      <w:tblPr>
        <w:tblStyle w:val="Table"/>
        <w:tblW w:type="pct" w:w="4865"/>
        <w:tblLook w:firstRow="1" w:lastRow="0" w:firstColumn="0" w:lastColumn="0" w:noHBand="0" w:noVBand="0" w:val="0020"/>
        <w:jc w:val="start"/>
      </w:tblPr>
      <w:tblGrid>
        <w:gridCol w:w="1926"/>
        <w:gridCol w:w="1926"/>
        <w:gridCol w:w="1926"/>
        <w:gridCol w:w="1926"/>
      </w:tblGrid>
      <w:tr>
        <w:trPr>
          <w:tblHeader w:val="true"/>
        </w:trPr>
        <w:tc>
          <w:tcPr/>
          <w:p>
            <w:pPr>
              <w:pStyle w:val="Compact"/>
              <w:jc w:val="left"/>
            </w:pPr>
            <w:r>
              <w:rPr>
                <w:bCs/>
                <w:b/>
              </w:rPr>
              <w:t xml:space="preserve">Color</w:t>
            </w:r>
          </w:p>
        </w:tc>
        <w:tc>
          <w:tcPr/>
          <w:p>
            <w:pPr>
              <w:pStyle w:val="Compact"/>
              <w:jc w:val="left"/>
            </w:pPr>
            <w:r>
              <w:rPr>
                <w:bCs/>
                <w:b/>
              </w:rPr>
              <w:t xml:space="preserve">Subtype</w:t>
            </w:r>
          </w:p>
        </w:tc>
        <w:tc>
          <w:tcPr/>
          <w:p>
            <w:pPr>
              <w:pStyle w:val="Compact"/>
              <w:jc w:val="left"/>
            </w:pPr>
            <w:r>
              <w:rPr>
                <w:bCs/>
                <w:b/>
              </w:rPr>
              <w:t xml:space="preserve">Definition</w:t>
            </w:r>
          </w:p>
        </w:tc>
        <w:tc>
          <w:tcPr/>
          <w:p>
            <w:pPr>
              <w:pStyle w:val="Compact"/>
              <w:jc w:val="left"/>
            </w:pPr>
            <w:r>
              <w:rPr>
                <w:bCs/>
                <w:b/>
              </w:rPr>
              <w:t xml:space="preserve">Highlighted</w:t>
            </w:r>
            <w:r>
              <w:rPr>
                <w:bCs/>
                <w:b/>
              </w:rPr>
              <w:t xml:space="preserve"> </w:t>
            </w:r>
            <w:r>
              <w:rPr>
                <w:bCs/>
                <w:b/>
              </w:rPr>
              <w:t xml:space="preserve">Example</w:t>
            </w:r>
          </w:p>
        </w:tc>
      </w:tr>
      <w:tr>
        <w:tc>
          <w:tcPr/>
          <w:p>
            <w:pPr>
              <w:pStyle w:val="Compact"/>
              <w:jc w:val="left"/>
            </w:pPr>
            <w:r>
              <w:t xml:space="preserve">      </w:t>
            </w:r>
          </w:p>
        </w:tc>
        <w:tc>
          <w:tcPr/>
          <w:p>
            <w:pPr>
              <w:pStyle w:val="Compact"/>
              <w:jc w:val="left"/>
            </w:pPr>
            <w:r>
              <w:t xml:space="preserve">Result Claim</w:t>
            </w:r>
            <w:r>
              <w:t xml:space="preserve"> </w:t>
            </w:r>
            <w:r>
              <w:t xml:space="preserve">[R]</w:t>
            </w:r>
          </w:p>
        </w:tc>
        <w:tc>
          <w:tcPr/>
          <w:p>
            <w:pPr>
              <w:pStyle w:val="Compact"/>
              <w:jc w:val="left"/>
            </w:pPr>
            <w:r>
              <w:t xml:space="preserve">A finding stated</w:t>
            </w:r>
            <w:r>
              <w:t xml:space="preserve"> </w:t>
            </w:r>
            <w:r>
              <w:t xml:space="preserve">as settled fact.</w:t>
            </w:r>
          </w:p>
        </w:tc>
        <w:tc>
          <w:tcPr/>
          <w:p>
            <w:pPr>
              <w:pStyle w:val="Compact"/>
              <w:jc w:val="left"/>
            </w:pPr>
            <w:r>
              <w:t xml:space="preserve">“</w:t>
            </w:r>
            <w:r>
              <w:rPr>
                <w:bCs/>
                <w:b/>
              </w:rPr>
              <w:t xml:space="preserve">Results</w:t>
            </w:r>
            <w:r>
              <w:rPr>
                <w:bCs/>
                <w:b/>
              </w:rPr>
              <w:t xml:space="preserve"> </w:t>
            </w:r>
            <w:r>
              <w:rPr>
                <w:bCs/>
                <w:b/>
              </w:rPr>
              <w:t xml:space="preserve">showed</w:t>
            </w:r>
            <w:r>
              <w:t xml:space="preserve"> </w:t>
            </w:r>
            <w:r>
              <w:t xml:space="preserve">that all</w:t>
            </w:r>
            <w:r>
              <w:t xml:space="preserve"> </w:t>
            </w:r>
            <w:r>
              <w:t xml:space="preserve">shrimp farms were</w:t>
            </w:r>
            <w:r>
              <w:t xml:space="preserve"> </w:t>
            </w:r>
            <w:r>
              <w:t xml:space="preserve">free of the</w:t>
            </w:r>
            <w:r>
              <w:t xml:space="preserve"> </w:t>
            </w:r>
            <w:r>
              <w:t xml:space="preserve">disease.</w:t>
            </w:r>
            <w:r>
              <w:t xml:space="preserve">”</w:t>
            </w:r>
          </w:p>
        </w:tc>
      </w:tr>
      <w:tr>
        <w:tc>
          <w:tcPr/>
          <w:p>
            <w:pPr>
              <w:pStyle w:val="Compact"/>
              <w:jc w:val="left"/>
            </w:pPr>
            <w:r>
              <w:t xml:space="preserve">      </w:t>
            </w:r>
          </w:p>
        </w:tc>
        <w:tc>
          <w:tcPr/>
          <w:p>
            <w:pPr>
              <w:pStyle w:val="Compact"/>
              <w:jc w:val="left"/>
            </w:pPr>
            <w:r>
              <w:t xml:space="preserve">Generalization</w:t>
            </w:r>
            <w:r>
              <w:t xml:space="preserve"> </w:t>
            </w:r>
            <w:r>
              <w:t xml:space="preserve">[G]</w:t>
            </w:r>
          </w:p>
        </w:tc>
        <w:tc>
          <w:tcPr/>
          <w:p>
            <w:pPr>
              <w:pStyle w:val="Compact"/>
              <w:jc w:val="left"/>
            </w:pPr>
            <w:r>
              <w:t xml:space="preserve">A broader</w:t>
            </w:r>
            <w:r>
              <w:t xml:space="preserve"> </w:t>
            </w:r>
            <w:r>
              <w:t xml:space="preserve">inference beyond</w:t>
            </w:r>
            <w:r>
              <w:t xml:space="preserve"> </w:t>
            </w:r>
            <w:r>
              <w:t xml:space="preserve">the data.</w:t>
            </w:r>
          </w:p>
        </w:tc>
        <w:tc>
          <w:tcPr/>
          <w:p>
            <w:pPr>
              <w:pStyle w:val="Compact"/>
              <w:jc w:val="left"/>
            </w:pPr>
            <w:r>
              <w:t xml:space="preserve">“</w:t>
            </w:r>
            <w:r>
              <w:t xml:space="preserve">This led to the</w:t>
            </w:r>
            <w:r>
              <w:t xml:space="preserve"> </w:t>
            </w:r>
            <w:r>
              <w:rPr>
                <w:bCs/>
                <w:b/>
              </w:rPr>
              <w:t xml:space="preserve">conclusion</w:t>
            </w:r>
            <w:r>
              <w:rPr>
                <w:bCs/>
                <w:b/>
              </w:rPr>
              <w:t xml:space="preserve"> </w:t>
            </w:r>
            <w:r>
              <w:rPr>
                <w:bCs/>
                <w:b/>
              </w:rPr>
              <w:t xml:space="preserve">that</w:t>
            </w:r>
            <w:r>
              <w:t xml:space="preserve"> </w:t>
            </w:r>
            <w:r>
              <w:t xml:space="preserve">all farms</w:t>
            </w:r>
            <w:r>
              <w:t xml:space="preserve"> </w:t>
            </w:r>
            <w:r>
              <w:t xml:space="preserve">were free of it.</w:t>
            </w:r>
            <w:r>
              <w:t xml:space="preserve">”</w:t>
            </w:r>
          </w:p>
        </w:tc>
      </w:tr>
      <w:tr>
        <w:tc>
          <w:tcPr/>
          <w:p>
            <w:pPr>
              <w:pStyle w:val="Compact"/>
              <w:jc w:val="left"/>
            </w:pPr>
            <w:r>
              <w:t xml:space="preserve">      </w:t>
            </w:r>
          </w:p>
        </w:tc>
        <w:tc>
          <w:tcPr/>
          <w:p>
            <w:pPr>
              <w:pStyle w:val="Compact"/>
              <w:jc w:val="left"/>
            </w:pPr>
            <w:r>
              <w:t xml:space="preserve">Causal Claim</w:t>
            </w:r>
            <w:r>
              <w:t xml:space="preserve"> </w:t>
            </w:r>
            <w:r>
              <w:t xml:space="preserve">[C]</w:t>
            </w:r>
          </w:p>
        </w:tc>
        <w:tc>
          <w:tcPr/>
          <w:p>
            <w:pPr>
              <w:pStyle w:val="Compact"/>
              <w:jc w:val="left"/>
            </w:pPr>
            <w:r>
              <w:t xml:space="preserve">A cause and</w:t>
            </w:r>
            <w:r>
              <w:t xml:space="preserve"> </w:t>
            </w:r>
            <w:r>
              <w:t xml:space="preserve">effect link</w:t>
            </w:r>
            <w:r>
              <w:t xml:space="preserve"> </w:t>
            </w:r>
            <w:r>
              <w:t xml:space="preserve">stated as</w:t>
            </w:r>
            <w:r>
              <w:t xml:space="preserve"> </w:t>
            </w:r>
            <w:r>
              <w:t xml:space="preserve">established.</w:t>
            </w:r>
          </w:p>
        </w:tc>
        <w:tc>
          <w:tcPr/>
          <w:p>
            <w:pPr>
              <w:pStyle w:val="Compact"/>
              <w:jc w:val="left"/>
            </w:pPr>
            <w:r>
              <w:t xml:space="preserve">“</w:t>
            </w:r>
            <w:r>
              <w:t xml:space="preserve">Extracts</w:t>
            </w:r>
            <w:r>
              <w:t xml:space="preserve"> </w:t>
            </w:r>
            <w:r>
              <w:rPr>
                <w:bCs/>
                <w:b/>
              </w:rPr>
              <w:t xml:space="preserve">produce</w:t>
            </w:r>
            <w:r>
              <w:t xml:space="preserve"> </w:t>
            </w:r>
            <w:r>
              <w:t xml:space="preserve">comparable</w:t>
            </w:r>
            <w:r>
              <w:t xml:space="preserve"> </w:t>
            </w:r>
            <w:r>
              <w:t xml:space="preserve">staining because</w:t>
            </w:r>
            <w:r>
              <w:t xml:space="preserve"> </w:t>
            </w:r>
            <w:r>
              <w:t xml:space="preserve">they contain</w:t>
            </w:r>
            <w:r>
              <w:t xml:space="preserve"> </w:t>
            </w:r>
            <w:r>
              <w:t xml:space="preserve">similar</w:t>
            </w:r>
            <w:r>
              <w:t xml:space="preserve"> </w:t>
            </w:r>
            <w:r>
              <w:t xml:space="preserve">compounds.</w:t>
            </w:r>
            <w:r>
              <w:t xml:space="preserve">”</w:t>
            </w:r>
          </w:p>
        </w:tc>
      </w:tr>
    </w:tbl>
    <w:p>
      <w:pPr>
        <w:pStyle w:val="BodyText"/>
      </w:pPr>
      <w:r>
        <w:rPr>
          <w:bCs/>
          <w:b/>
        </w:rPr>
        <w:t xml:space="preserve">QUICK-REFERENCE LEGEND</w:t>
      </w:r>
    </w:p>
    <w:p>
      <w:pPr>
        <w:pStyle w:val="BodyText"/>
      </w:pPr>
      <w:r>
        <w:t xml:space="preserve">Colors are backgrounds applied with a highlighter directly on the</w:t>
      </w:r>
      <w:r>
        <w:t xml:space="preserve"> </w:t>
      </w:r>
      <w:r>
        <w:t xml:space="preserve">abstract text, not font colors.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TYPE (Highlight)</w:t>
            </w:r>
          </w:p>
        </w:tc>
        <w:tc>
          <w:tcPr/>
          <w:p>
            <w:pPr>
              <w:pStyle w:val="Compact"/>
              <w:jc w:val="left"/>
            </w:pPr>
            <w:r>
              <w:rPr>
                <w:bCs/>
                <w:b/>
              </w:rPr>
              <w:t xml:space="preserve">FUNCTION (Text)</w:t>
            </w:r>
          </w:p>
        </w:tc>
      </w:tr>
      <w:tr>
        <w:tc>
          <w:tcPr/>
          <w:p>
            <w:pPr>
              <w:jc w:val="left"/>
            </w:pPr>
            <w:r>
              <w:t xml:space="preserve">       Modal Verbs</w:t>
            </w:r>
          </w:p>
          <w:p>
            <w:pPr>
              <w:jc w:val="left"/>
            </w:pPr>
            <w:r>
              <w:t xml:space="preserve">       Lexical Hedges</w:t>
            </w:r>
          </w:p>
          <w:p>
            <w:pPr>
              <w:jc w:val="left"/>
            </w:pPr>
            <w:r>
              <w:t xml:space="preserve">       Adverbial Hedges</w:t>
            </w:r>
          </w:p>
          <w:p>
            <w:pPr>
              <w:jc w:val="left"/>
            </w:pPr>
            <w:r>
              <w:t xml:space="preserve">       Clause-Level Hedges</w:t>
            </w:r>
          </w:p>
        </w:tc>
        <w:tc>
          <w:tcPr/>
          <w:p>
            <w:pPr>
              <w:jc w:val="left"/>
            </w:pPr>
            <w:r>
              <w:rPr>
                <w:bCs/>
                <w:b/>
              </w:rPr>
              <w:t xml:space="preserve">EC</w:t>
            </w:r>
            <w:r>
              <w:t xml:space="preserve"> </w:t>
            </w:r>
            <w:r>
              <w:t xml:space="preserve">Epistemic Caution</w:t>
            </w:r>
          </w:p>
          <w:p>
            <w:pPr>
              <w:jc w:val="left"/>
            </w:pPr>
            <w:r>
              <w:rPr>
                <w:bCs/>
                <w:b/>
              </w:rPr>
              <w:t xml:space="preserve">P</w:t>
            </w:r>
            <w:r>
              <w:t xml:space="preserve"> </w:t>
            </w:r>
            <w:r>
              <w:t xml:space="preserve">Politeness / Deference</w:t>
            </w:r>
          </w:p>
          <w:p>
            <w:pPr>
              <w:jc w:val="left"/>
            </w:pPr>
            <w:r>
              <w:rPr>
                <w:bCs/>
                <w:b/>
              </w:rPr>
              <w:t xml:space="preserve">DO</w:t>
            </w:r>
            <w:r>
              <w:t xml:space="preserve"> </w:t>
            </w:r>
            <w:r>
              <w:t xml:space="preserve">Discourse Organization</w:t>
            </w:r>
          </w:p>
        </w:tc>
      </w:tr>
      <w:tr>
        <w:tc>
          <w:tcPr/>
          <w:p>
            <w:pPr>
              <w:jc w:val="left"/>
            </w:pPr>
            <w:r>
              <w:rPr>
                <w:bCs/>
                <w:b/>
              </w:rPr>
              <w:t xml:space="preserve">UNHEDGED SITES (Grey Highlight,</w:t>
            </w:r>
            <w:r>
              <w:rPr>
                <w:bCs/>
                <w:b/>
              </w:rPr>
              <w:t xml:space="preserve"> </w:t>
            </w:r>
            <w:r>
              <w:rPr>
                <w:bCs/>
                <w:b/>
              </w:rPr>
              <w:t xml:space="preserve">Optional)</w:t>
            </w:r>
          </w:p>
          <w:p>
            <w:pPr>
              <w:jc w:val="left"/>
            </w:pPr>
            <w:r>
              <w:t xml:space="preserve">       R = Result, G =</w:t>
            </w:r>
            <w:r>
              <w:t xml:space="preserve"> </w:t>
            </w:r>
            <w:r>
              <w:t xml:space="preserve">Generalization, C = Causal.</w:t>
            </w:r>
            <w:r>
              <w:t xml:space="preserve"> </w:t>
            </w:r>
            <w:r>
              <w:t xml:space="preserve">Bracket the subtype beside the</w:t>
            </w:r>
            <w:r>
              <w:t xml:space="preserve"> </w:t>
            </w:r>
            <w:r>
              <w:t xml:space="preserve">mark.</w:t>
            </w:r>
          </w:p>
        </w:tc>
        <w:tc>
          <w:tcPr/>
          <w:p>
            <w:pPr>
              <w:jc w:val="left"/>
            </w:pPr>
            <w:r>
              <w:rPr>
                <w:bCs/>
                <w:b/>
              </w:rPr>
              <w:t xml:space="preserve">FALSE POSITIVE</w:t>
            </w:r>
            <w:r>
              <w:rPr>
                <w:bCs/>
                <w:b/>
              </w:rPr>
              <w:t xml:space="preserve"> </w:t>
            </w:r>
            <w:r>
              <w:rPr>
                <w:bCs/>
                <w:b/>
              </w:rPr>
              <w:t xml:space="preserve">(Strikethrough)</w:t>
            </w:r>
          </w:p>
          <w:p>
            <w:pPr>
              <w:jc w:val="left"/>
            </w:pPr>
            <w:r>
              <w:t xml:space="preserve">No highlight. Strike through the</w:t>
            </w:r>
            <w:r>
              <w:t xml:space="preserve"> </w:t>
            </w:r>
            <w:r>
              <w:t xml:space="preserve">token and write the reason code</w:t>
            </w:r>
            <w:r>
              <w:t xml:space="preserve"> </w:t>
            </w:r>
            <w:r>
              <w:t xml:space="preserve">in grey text.</w:t>
            </w:r>
          </w:p>
        </w:tc>
      </w:tr>
    </w:tbl>
    <w:p>
      <w:pPr>
        <w:pStyle w:val="BodyText"/>
      </w:pPr>
      <w:r>
        <w:rPr>
          <w:bCs/>
          <w:b/>
        </w:rPr>
        <w:t xml:space="preserve">COMBINED EXAMPLE</w:t>
      </w:r>
    </w:p>
    <w:p>
      <w:pPr>
        <w:pStyle w:val="BodyText"/>
      </w:pPr>
      <w:r>
        <w:rPr>
          <w:iCs/>
          <w:i/>
        </w:rPr>
        <w:t xml:space="preserve">Combined example, as marked on a hard copy.</w:t>
      </w:r>
      <w:r>
        <w:t xml:space="preserve"> </w:t>
      </w:r>
      <w:r>
        <w:t xml:space="preserve">“</w:t>
      </w:r>
      <w:r>
        <w:t xml:space="preserve">The results</w:t>
      </w:r>
      <w:r>
        <w:t xml:space="preserve"> </w:t>
      </w:r>
      <w:r>
        <w:rPr>
          <w:bCs/>
          <w:b/>
        </w:rPr>
        <w:t xml:space="preserve">suggested</w:t>
      </w:r>
      <w:r>
        <w:t xml:space="preserve"> </w:t>
      </w:r>
      <w:r>
        <w:rPr>
          <w:bCs/>
          <w:b/>
        </w:rPr>
        <w:t xml:space="preserve">(EC)</w:t>
      </w:r>
      <w:r>
        <w:t xml:space="preserve"> </w:t>
      </w:r>
      <w:r>
        <w:t xml:space="preserve">that C. longa extracts are</w:t>
      </w:r>
      <w:r>
        <w:t xml:space="preserve"> </w:t>
      </w:r>
      <w:r>
        <w:rPr>
          <w:strike/>
          <w:bCs/>
          <w:b/>
        </w:rPr>
        <w:t xml:space="preserve">potential</w:t>
      </w:r>
      <w:r>
        <w:t xml:space="preserve"> </w:t>
      </w:r>
      <w:r>
        <w:t xml:space="preserve">(FP-Gen)</w:t>
      </w:r>
      <w:r>
        <w:t xml:space="preserve"> </w:t>
      </w:r>
      <w:r>
        <w:t xml:space="preserve">alternative stains. PCR</w:t>
      </w:r>
      <w:r>
        <w:t xml:space="preserve"> </w:t>
      </w:r>
      <w:r>
        <w:rPr>
          <w:strike/>
          <w:bCs/>
          <w:b/>
        </w:rPr>
        <w:t xml:space="preserve">can</w:t>
      </w:r>
      <w:r>
        <w:t xml:space="preserve"> </w:t>
      </w:r>
      <w:r>
        <w:t xml:space="preserve">(FP-Cap) also detect low</w:t>
      </w:r>
      <w:r>
        <w:t xml:space="preserve"> </w:t>
      </w:r>
      <w:r>
        <w:t xml:space="preserve">concentrations, while a prior line stated flatly that</w:t>
      </w:r>
      <w:r>
        <w:t xml:space="preserve"> </w:t>
      </w:r>
      <w:r>
        <w:rPr>
          <w:bCs/>
          <w:b/>
        </w:rPr>
        <w:t xml:space="preserve">Results showed</w:t>
      </w:r>
      <w:r>
        <w:t xml:space="preserve"> </w:t>
      </w:r>
      <w:r>
        <w:rPr>
          <w:bCs/>
          <w:b/>
        </w:rPr>
        <w:t xml:space="preserve">[R]</w:t>
      </w:r>
      <w:r>
        <w:t xml:space="preserve"> </w:t>
      </w:r>
      <w:r>
        <w:t xml:space="preserve">no infection.</w:t>
      </w:r>
      <w:r>
        <w:t xml:space="preserve">”</w:t>
      </w:r>
    </w:p>
    <w:p>
      <w:pPr>
        <w:pStyle w:val="BodyText"/>
      </w:pPr>
      <w:r>
        <w:rPr>
          <w:iCs/>
          <w:i/>
        </w:rPr>
        <w:t xml:space="preserve">Blue and red highlights mark type. Orange text marks function. The</w:t>
      </w:r>
      <w:r>
        <w:rPr>
          <w:iCs/>
          <w:i/>
        </w:rPr>
        <w:t xml:space="preserve"> </w:t>
      </w:r>
      <w:r>
        <w:rPr>
          <w:iCs/>
          <w:i/>
        </w:rPr>
        <w:t xml:space="preserve">strikethrough marks a rejected candidate. Grey highlight marks an</w:t>
      </w:r>
      <w:r>
        <w:rPr>
          <w:iCs/>
          <w:i/>
        </w:rPr>
        <w:t xml:space="preserve"> </w:t>
      </w:r>
      <w:r>
        <w:rPr>
          <w:iCs/>
          <w:i/>
        </w:rPr>
        <w:t xml:space="preserve">unhedged site. Here,</w:t>
      </w:r>
      <w:r>
        <w:rPr>
          <w:iCs/>
          <w:i/>
        </w:rPr>
        <w:t xml:space="preserve"> </w:t>
      </w:r>
      <w:r>
        <w:rPr>
          <w:iCs/>
          <w:i/>
        </w:rPr>
        <w:t xml:space="preserve">“</w:t>
      </w:r>
      <w:r>
        <w:rPr>
          <w:iCs/>
          <w:i/>
        </w:rPr>
        <w:t xml:space="preserve">potential</w:t>
      </w:r>
      <w:r>
        <w:rPr>
          <w:iCs/>
          <w:i/>
        </w:rPr>
        <w:t xml:space="preserve">”</w:t>
      </w:r>
      <w:r>
        <w:rPr>
          <w:iCs/>
          <w:i/>
        </w:rPr>
        <w:t xml:space="preserve"> </w:t>
      </w:r>
      <w:r>
        <w:rPr>
          <w:iCs/>
          <w:i/>
        </w:rPr>
        <w:t xml:space="preserve">is struck because it names a research</w:t>
      </w:r>
      <w:r>
        <w:rPr>
          <w:iCs/>
          <w:i/>
        </w:rPr>
        <w:t xml:space="preserve"> </w:t>
      </w:r>
      <w:r>
        <w:rPr>
          <w:iCs/>
          <w:i/>
        </w:rPr>
        <w:t xml:space="preserve">property, not a hedge on the claim.</w:t>
      </w:r>
    </w:p>
    <w:p>
      <w:pPr>
        <w:pStyle w:val="BodyText"/>
      </w:pPr>
      <w:r>
        <w:rPr>
          <w:bCs/>
          <w:b/>
        </w:rPr>
        <w:t xml:space="preserve">CODING SHEET COLUMNS</w:t>
      </w:r>
    </w:p>
    <w:p>
      <w:pPr>
        <w:pStyle w:val="BodyText"/>
      </w:pPr>
      <w:r>
        <w:t xml:space="preserve">The original highlighted abstract is the primary, authoritative coding</w:t>
      </w:r>
      <w:r>
        <w:t xml:space="preserve"> </w:t>
      </w:r>
      <w:r>
        <w:t xml:space="preserve">record. This spreadsheet is for tallying, organization, and analysis</w:t>
      </w:r>
      <w:r>
        <w:t xml:space="preserve"> </w:t>
      </w:r>
      <w:r>
        <w:t xml:space="preserve">only, not a substitute record.</w:t>
      </w:r>
    </w:p>
    <w:tbl>
      <w:tblPr>
        <w:tblStyle w:val="Table"/>
        <w:tblW w:type="auto" w:w="0"/>
        <w:tblLook w:firstRow="0" w:lastRow="0" w:firstColumn="0" w:lastColumn="0" w:noHBand="0" w:noVBand="0" w:val="0000"/>
        <w:jc w:val="start"/>
      </w:tblPr>
      <w:tblGrid>
        <w:gridCol w:w="7920"/>
      </w:tblGrid>
      <w:tr>
        <w:tc>
          <w:tcPr/>
          <w:p>
            <w:pPr>
              <w:pStyle w:val="Compact"/>
              <w:jc w:val="left"/>
            </w:pPr>
            <w:r>
              <w:rPr>
                <w:bCs/>
                <w:b/>
              </w:rPr>
              <w:t xml:space="preserve">Abstract</w:t>
            </w:r>
            <w:r>
              <w:rPr>
                <w:bCs/>
                <w:b/>
              </w:rPr>
              <w:t xml:space="preserve"> </w:t>
            </w:r>
            <w:r>
              <w:t xml:space="preserve">Sentence</w:t>
            </w:r>
            <w:r>
              <w:t xml:space="preserve"> </w:t>
            </w:r>
            <w:r>
              <w:rPr>
                <w:bCs/>
                <w:b/>
              </w:rPr>
              <w:t xml:space="preserve">Clause</w:t>
            </w:r>
            <w:r>
              <w:t xml:space="preserve"> </w:t>
            </w:r>
            <w:r>
              <w:rPr>
                <w:bCs/>
                <w:b/>
              </w:rPr>
              <w:t xml:space="preserve">Hedge</w:t>
            </w:r>
            <w:r>
              <w:rPr>
                <w:bCs/>
                <w:b/>
              </w:rPr>
              <w:t xml:space="preserve"> </w:t>
            </w:r>
            <w:r>
              <w:t xml:space="preserve">Type**</w:t>
            </w:r>
            <w:r>
              <w:t xml:space="preserve"> </w:t>
            </w:r>
            <w:r>
              <w:rPr>
                <w:bCs/>
                <w:b/>
              </w:rPr>
              <w:t xml:space="preserve">Function</w:t>
            </w:r>
            <w:r>
              <w:t xml:space="preserve"> </w:t>
            </w:r>
            <w:r>
              <w:rPr>
                <w:bCs/>
                <w:b/>
              </w:rPr>
              <w:t xml:space="preserve">Word</w:t>
            </w:r>
            <w:r>
              <w:rPr>
                <w:bCs/>
                <w:b/>
              </w:rPr>
              <w:t xml:space="preserve"> </w:t>
            </w:r>
            <w:r>
              <w:t xml:space="preserve">Coder</w:t>
            </w:r>
          </w:p>
        </w:tc>
      </w:tr>
      <w:tr>
        <w:tc>
          <w:tcPr/>
          <w:p>
            <w:pPr>
              <w:pStyle w:val="Compact"/>
              <w:jc w:val="left"/>
            </w:pPr>
            <w:r>
              <w:t xml:space="preserve">ID** #** Token** Count** Notes**</w:t>
            </w:r>
          </w:p>
        </w:tc>
      </w:tr>
    </w:tbl>
    <w:p>
      <w:r>
        <w:pict>
          <v:rect style="width:0;height:1.5pt" o:hralign="center" o:hrstd="t" o:hr="t"/>
        </w:pict>
      </w:r>
    </w:p>
    <w:p>
      <w:pPr>
        <w:pStyle w:val="FirstParagraph"/>
      </w:pPr>
      <w:r>
        <w:rPr>
          <w:iCs/>
          <w:i/>
        </w:rPr>
        <w:t xml:space="preserve">Discipline codes: Acs1 to A10 and Aas1 to A10 (Agriculture), VM1 to</w:t>
      </w:r>
      <w:r>
        <w:rPr>
          <w:iCs/>
          <w:i/>
        </w:rPr>
        <w:t xml:space="preserve"> </w:t>
      </w:r>
      <w:r>
        <w:rPr>
          <w:iCs/>
          <w:i/>
        </w:rPr>
        <w:t xml:space="preserve">VM20 (Veterinary Medicine), B1 to B20 (Biology).</w:t>
      </w:r>
    </w:p>
    <w:p>
      <w:pPr>
        <w:pStyle w:val="BodyText"/>
      </w:pPr>
      <w:r>
        <w:rPr>
          <w:iCs/>
          <w:i/>
        </w:rPr>
        <w:t xml:space="preserve">Layer 3 data, tracked separately so it never inflates RQ2 counts.</w:t>
      </w:r>
    </w:p>
    <w:p>
      <w:pPr>
        <w:pStyle w:val="BodyText"/>
      </w:pPr>
      <w:r>
        <w:rPr>
          <w:iCs/>
          <w:i/>
        </w:rPr>
        <w:t xml:space="preserve">Optional Tab: Unhedged Assertion Sites</w:t>
      </w:r>
    </w:p>
    <w:tbl>
      <w:tblPr>
        <w:tblStyle w:val="Table"/>
        <w:tblW w:type="auto" w:w="0"/>
        <w:tblLook w:firstRow="0" w:lastRow="0" w:firstColumn="0" w:lastColumn="0" w:noHBand="0" w:noVBand="0" w:val="0000"/>
        <w:jc w:val="start"/>
      </w:tblPr>
      <w:tblGrid>
        <w:gridCol w:w="7920"/>
      </w:tblGrid>
      <w:tr>
        <w:tc>
          <w:tcPr/>
          <w:p>
            <w:pPr>
              <w:pStyle w:val="Compact"/>
              <w:jc w:val="left"/>
            </w:pPr>
            <w:r>
              <w:rPr>
                <w:bCs/>
                <w:b/>
              </w:rPr>
              <w:t xml:space="preserve">Abstract</w:t>
            </w:r>
            <w:r>
              <w:rPr>
                <w:bCs/>
                <w:b/>
              </w:rPr>
              <w:t xml:space="preserve"> </w:t>
            </w:r>
            <w:r>
              <w:t xml:space="preserve">Sentence</w:t>
            </w:r>
            <w:r>
              <w:t xml:space="preserve"> </w:t>
            </w:r>
            <w:r>
              <w:rPr>
                <w:bCs/>
                <w:b/>
              </w:rPr>
              <w:t xml:space="preserve">Clause</w:t>
            </w:r>
            <w:r>
              <w:t xml:space="preserve"> </w:t>
            </w:r>
            <w:r>
              <w:rPr>
                <w:bCs/>
                <w:b/>
              </w:rPr>
              <w:t xml:space="preserve">Subtype</w:t>
            </w:r>
            <w:r>
              <w:t xml:space="preserve"> </w:t>
            </w:r>
            <w:r>
              <w:rPr>
                <w:bCs/>
                <w:b/>
              </w:rPr>
              <w:t xml:space="preserve">Reverse</w:t>
            </w:r>
            <w:r>
              <w:rPr>
                <w:bCs/>
                <w:b/>
              </w:rPr>
              <w:t xml:space="preserve"> </w:t>
            </w:r>
            <w:r>
              <w:t xml:space="preserve">Coder</w:t>
            </w:r>
          </w:p>
        </w:tc>
      </w:tr>
      <w:tr>
        <w:tc>
          <w:tcPr/>
          <w:p>
            <w:pPr>
              <w:pStyle w:val="Compact"/>
              <w:jc w:val="left"/>
            </w:pPr>
            <w:r>
              <w:t xml:space="preserve">ID** #** Test Notes**</w:t>
            </w:r>
          </w:p>
        </w:tc>
      </w:tr>
      <w:tr>
        <w:tc>
          <w:tcPr/>
          <w:p>
            <w:pPr>
              <w:pStyle w:val="Compact"/>
              <w:jc w:val="left"/>
            </w:pPr>
            <w:r>
              <w:t xml:space="preserve">(Y/N)**</w:t>
            </w:r>
          </w:p>
        </w:tc>
      </w:tr>
    </w:tbl>
    <w:p>
      <w:r>
        <w:pict>
          <v:rect style="width:0;height:1.5pt" o:hralign="center" o:hrstd="t" o:hr="t"/>
        </w:pict>
      </w:r>
    </w:p>
    <w:p>
      <w:pPr>
        <w:pStyle w:val="FirstParagraph"/>
      </w:pPr>
      <w:r>
        <w:rPr>
          <w:iCs/>
          <w:i/>
        </w:rPr>
        <w:t xml:space="preserve">Optional Tab: Rejected Hedge Candidates</w:t>
      </w:r>
    </w:p>
    <w:p>
      <w:pPr>
        <w:pStyle w:val="BodyText"/>
      </w:pPr>
      <w:r>
        <w:t xml:space="preserve">False positives, logged for traceability during the reliability check.</w:t>
      </w:r>
    </w:p>
    <w:tbl>
      <w:tblPr>
        <w:tblStyle w:val="Table"/>
        <w:tblW w:type="auto" w:w="0"/>
        <w:tblLook w:firstRow="0" w:lastRow="0" w:firstColumn="0" w:lastColumn="0" w:noHBand="0" w:noVBand="0" w:val="0000"/>
        <w:jc w:val="start"/>
      </w:tblPr>
      <w:tblGrid>
        <w:gridCol w:w="7920"/>
      </w:tblGrid>
      <w:tr>
        <w:tc>
          <w:tcPr/>
          <w:p>
            <w:pPr>
              <w:pStyle w:val="Compact"/>
              <w:jc w:val="left"/>
            </w:pPr>
            <w:r>
              <w:rPr>
                <w:bCs/>
                <w:b/>
              </w:rPr>
              <w:t xml:space="preserve">Abstract</w:t>
            </w:r>
            <w:r>
              <w:rPr>
                <w:bCs/>
                <w:b/>
              </w:rPr>
              <w:t xml:space="preserve"> </w:t>
            </w:r>
            <w:r>
              <w:t xml:space="preserve">Sentence</w:t>
            </w:r>
            <w:r>
              <w:t xml:space="preserve"> </w:t>
            </w:r>
            <w:r>
              <w:rPr>
                <w:bCs/>
                <w:b/>
              </w:rPr>
              <w:t xml:space="preserve">Clause</w:t>
            </w:r>
            <w:r>
              <w:t xml:space="preserve"> </w:t>
            </w:r>
            <w:r>
              <w:rPr>
                <w:bCs/>
                <w:b/>
              </w:rPr>
              <w:t xml:space="preserve">Token</w:t>
            </w:r>
            <w:r>
              <w:t xml:space="preserve"> </w:t>
            </w:r>
            <w:r>
              <w:rPr>
                <w:bCs/>
                <w:b/>
              </w:rPr>
              <w:t xml:space="preserve">Reason</w:t>
            </w:r>
            <w:r>
              <w:rPr>
                <w:bCs/>
                <w:b/>
              </w:rPr>
              <w:t xml:space="preserve"> </w:t>
            </w:r>
            <w:r>
              <w:t xml:space="preserve">Coder</w:t>
            </w:r>
          </w:p>
        </w:tc>
      </w:tr>
      <w:tr>
        <w:tc>
          <w:tcPr/>
          <w:p>
            <w:pPr>
              <w:pStyle w:val="Compact"/>
              <w:jc w:val="left"/>
            </w:pPr>
            <w:r>
              <w:t xml:space="preserve">ID** #** Code** Notes**</w:t>
            </w:r>
          </w:p>
        </w:tc>
      </w:tr>
    </w:tbl>
    <w:p>
      <w:r>
        <w:pict>
          <v:rect style="width:0;height:1.5pt" o:hralign="center" o:hrstd="t" o:hr="t"/>
        </w:pict>
      </w:r>
    </w:p>
    <w:p>
      <w:pPr>
        <w:pStyle w:val="FirstParagraph"/>
      </w:pPr>
      <w:r>
        <w:rPr>
          <w:bCs/>
          <w:b/>
        </w:rPr>
        <w:t xml:space="preserve">APPENDIX D: CODED CORPUS WITH HIGHLIGHTS</w:t>
      </w:r>
    </w:p>
    <w:p>
      <w:pPr>
        <w:pStyle w:val="BodyText"/>
      </w:pPr>
      <w:r>
        <w:t xml:space="preserve">This appendix presents the 60 abstracts with all coding marks applied.</w:t>
      </w:r>
      <w:r>
        <w:t xml:space="preserve"> </w:t>
      </w:r>
      <w:r>
        <w:t xml:space="preserve">Layer 1 = color highlight on hedge tokens (blue = Modal Verbs, red =</w:t>
      </w:r>
      <w:r>
        <w:t xml:space="preserve"> </w:t>
      </w:r>
      <w:r>
        <w:t xml:space="preserve">Lexical Hedges, yellow = Adverbial Hedges, green = Clause-Level Hedges).</w:t>
      </w:r>
      <w:r>
        <w:t xml:space="preserve"> </w:t>
      </w:r>
      <w:r>
        <w:t xml:space="preserve">Layer 2 = function label in colored text (EC = orange, P = purple, DO =</w:t>
      </w:r>
      <w:r>
        <w:t xml:space="preserve"> </w:t>
      </w:r>
      <w:r>
        <w:t xml:space="preserve">teal). False positives = strikethrough + reason code in grey. Layer 3</w:t>
      </w:r>
      <w:r>
        <w:t xml:space="preserve"> </w:t>
      </w:r>
      <w:r>
        <w:t xml:space="preserve">(unhedged sites) = grey highlight + [R]/[G]/[C] bracket.</w:t>
      </w:r>
    </w:p>
    <w:p>
      <w:pPr>
        <w:pStyle w:val="BodyText"/>
      </w:pPr>
      <w:r>
        <w:rPr>
          <w:bCs/>
          <w:b/>
        </w:rPr>
        <w:t xml:space="preserve">Biology (B1–B20)</w:t>
      </w:r>
    </w:p>
    <w:p>
      <w:pPr>
        <w:pStyle w:val="BodyText"/>
      </w:pPr>
      <w:r>
        <w:rPr>
          <w:bCs/>
          <w:b/>
        </w:rPr>
        <w:t xml:space="preserve">B1 · 258 words · 2 hedges · 0.78 per 100 words</w:t>
      </w:r>
    </w:p>
    <w:p>
      <w:pPr>
        <w:pStyle w:val="BodyText"/>
      </w:pPr>
      <w:r>
        <w:t xml:space="preserve">Plant Growth Promoting Bacteria (PGPR) holds significant agricultural</w:t>
      </w:r>
      <w:r>
        <w:t xml:space="preserve"> </w:t>
      </w:r>
      <w:r>
        <w:t xml:space="preserve">importance as a widely used microbial biofertilizer in various</w:t>
      </w:r>
      <w:r>
        <w:t xml:space="preserve"> </w:t>
      </w:r>
      <w:r>
        <w:t xml:space="preserve">agricultural practices. Among the commonly prevalent PGPR are the</w:t>
      </w:r>
      <w:r>
        <w:t xml:space="preserve"> </w:t>
      </w:r>
      <w:r>
        <w:t xml:space="preserve">Bacillus spp., specifically Bacillus subtilis which have been found to</w:t>
      </w:r>
      <w:r>
        <w:t xml:space="preserve"> </w:t>
      </w:r>
      <w:r>
        <w:t xml:space="preserve">act as bio-fertilizers, biostimulants, and biological control agents. In</w:t>
      </w:r>
      <w:r>
        <w:t xml:space="preserve"> </w:t>
      </w:r>
      <w:r>
        <w:t xml:space="preserve">this study, the growth promoting</w:t>
      </w:r>
      <w:r>
        <w:t xml:space="preserve"> </w:t>
      </w:r>
      <w:r>
        <w:rPr>
          <w:strike/>
          <w:bCs/>
          <w:b/>
        </w:rPr>
        <w:t xml:space="preserve">potential</w:t>
      </w:r>
      <w:r>
        <w:t xml:space="preserve"> </w:t>
      </w:r>
      <w:r>
        <w:t xml:space="preserve">(FP-Gen) of Bacillus</w:t>
      </w:r>
      <w:r>
        <w:t xml:space="preserve"> </w:t>
      </w:r>
      <w:r>
        <w:t xml:space="preserve">subtilis BIOTECH 1679 was assessed under greenhouse conditions. Results</w:t>
      </w:r>
      <w:r>
        <w:t xml:space="preserve"> </w:t>
      </w:r>
      <w:r>
        <w:rPr>
          <w:strike/>
          <w:bCs/>
          <w:b/>
        </w:rPr>
        <w:t xml:space="preserve">indicated</w:t>
      </w:r>
      <w:r>
        <w:t xml:space="preserve"> </w:t>
      </w:r>
      <w:r>
        <w:t xml:space="preserve">(FP-Gen) that Bacillus subtilis formulation (9.0 x 10⁸</w:t>
      </w:r>
      <w:r>
        <w:t xml:space="preserve"> </w:t>
      </w:r>
      <w:r>
        <w:t xml:space="preserve">CFU/mL) of 10 g/L (T1), 30 g/L (T2), and 50 g/L (T3) concentrations</w:t>
      </w:r>
      <w:r>
        <w:t xml:space="preserve"> </w:t>
      </w:r>
      <w:r>
        <w:t xml:space="preserve">exhibited a notable increase in plant growth parameters. Based on</w:t>
      </w:r>
      <w:r>
        <w:t xml:space="preserve"> </w:t>
      </w:r>
      <w:r>
        <w:t xml:space="preserve">statistical analysis using the Kruskal-Wallis test, Welch One-way</w:t>
      </w:r>
      <w:r>
        <w:t xml:space="preserve"> </w:t>
      </w:r>
      <w:r>
        <w:t xml:space="preserve">Analysis of Variance, and One-way ANOVA, the three varying</w:t>
      </w:r>
      <w:r>
        <w:t xml:space="preserve"> </w:t>
      </w:r>
      <w:r>
        <w:t xml:space="preserve">concentrations of B. subtilis formulations have no significant</w:t>
      </w:r>
      <w:r>
        <w:t xml:space="preserve"> </w:t>
      </w:r>
      <w:r>
        <w:t xml:space="preserve">differences in their effects on the plant growth parameters including</w:t>
      </w:r>
      <w:r>
        <w:t xml:space="preserve"> </w:t>
      </w:r>
      <w:r>
        <w:t xml:space="preserve">plant height, number of leaves, length of leaves, and width of leaves of</w:t>
      </w:r>
      <w:r>
        <w:t xml:space="preserve"> </w:t>
      </w:r>
      <w:r>
        <w:t xml:space="preserve">onion plants (p-value ≥ 0.05). They also presented no significant</w:t>
      </w:r>
      <w:r>
        <w:t xml:space="preserve"> </w:t>
      </w:r>
      <w:r>
        <w:t xml:space="preserve">difference in their effects with the positive control,</w:t>
      </w:r>
      <w:r>
        <w:t xml:space="preserve"> </w:t>
      </w:r>
      <w:r>
        <w:t xml:space="preserve">Nitrogen-Phosphorus-Potassium (NPK 20:20:20) (p-value ≥ 0.05). This</w:t>
      </w:r>
      <w:r>
        <w:t xml:space="preserve"> </w:t>
      </w:r>
      <w:r>
        <w:rPr>
          <w:bCs/>
          <w:b/>
        </w:rPr>
        <w:t xml:space="preserve">implies (EC)</w:t>
      </w:r>
      <w:r>
        <w:t xml:space="preserve"> </w:t>
      </w:r>
      <w:r>
        <w:t xml:space="preserve">that the use of low concentration of B. subtilis</w:t>
      </w:r>
      <w:r>
        <w:t xml:space="preserve"> </w:t>
      </w:r>
      <w:r>
        <w:t xml:space="preserve">BIOTECH 1679 are as effective in promoting the growth of onion. Welch</w:t>
      </w:r>
      <w:r>
        <w:t xml:space="preserve"> </w:t>
      </w:r>
      <w:r>
        <w:t xml:space="preserve">ANOVA revealed that different treatments showed significantly larger</w:t>
      </w:r>
      <w:r>
        <w:t xml:space="preserve"> </w:t>
      </w:r>
      <w:r>
        <w:t xml:space="preserve">leaf width (p-value ≤ 0.05). However, One-way ANOVA revealed that B.</w:t>
      </w:r>
      <w:r>
        <w:t xml:space="preserve"> </w:t>
      </w:r>
      <w:r>
        <w:t xml:space="preserve">subtilis BIOTECH 1679, regardless of the concentration used,</w:t>
      </w:r>
      <w:r>
        <w:t xml:space="preserve"> </w:t>
      </w:r>
      <w:r>
        <w:t xml:space="preserve">demonstrated shorter root length as compared with that of NPK (20:20:20)</w:t>
      </w:r>
      <w:r>
        <w:t xml:space="preserve"> </w:t>
      </w:r>
      <w:r>
        <w:t xml:space="preserve">(p-value ≤ 0.05). The results provided valuable insights into the</w:t>
      </w:r>
      <w:r>
        <w:t xml:space="preserve"> </w:t>
      </w:r>
      <w:r>
        <w:rPr>
          <w:bCs/>
          <w:b/>
        </w:rPr>
        <w:t xml:space="preserve">potential (EC)</w:t>
      </w:r>
      <w:r>
        <w:t xml:space="preserve"> </w:t>
      </w:r>
      <w:r>
        <w:t xml:space="preserve">of B. subtilis as a sustainable solution for managing</w:t>
      </w:r>
      <w:r>
        <w:t xml:space="preserve"> </w:t>
      </w:r>
      <w:r>
        <w:t xml:space="preserve">onion supply demands, contributing to eco-friendly and alternative</w:t>
      </w:r>
      <w:r>
        <w:t xml:space="preserve"> </w:t>
      </w:r>
      <w:r>
        <w:t xml:space="preserve">strategies in agriculture from local to global use.</w:t>
      </w:r>
    </w:p>
    <w:p>
      <w:pPr>
        <w:pStyle w:val="BodyText"/>
      </w:pPr>
      <w:r>
        <w:rPr>
          <w:bCs/>
          <w:b/>
        </w:rPr>
        <w:t xml:space="preserve">B2 · 189 words · 0 hedges · 0.0 per 100 words</w:t>
      </w:r>
    </w:p>
    <w:p>
      <w:pPr>
        <w:pStyle w:val="BodyText"/>
      </w:pPr>
      <w:r>
        <w:t xml:space="preserve">This study was conducted at the Research Extension and Technology (RET)</w:t>
      </w:r>
      <w:r>
        <w:t xml:space="preserve"> </w:t>
      </w:r>
      <w:r>
        <w:t xml:space="preserve">and Microbiology Laboratory of the College of Arts and Sciences of</w:t>
      </w:r>
      <w:r>
        <w:t xml:space="preserve"> </w:t>
      </w:r>
      <w:r>
        <w:t xml:space="preserve">Pampanga State Agricultural University from November 2018 - January</w:t>
      </w:r>
      <w:r>
        <w:t xml:space="preserve"> </w:t>
      </w:r>
      <w:r>
        <w:t xml:space="preserve">2019. The study aims to determine the antibacterial activity of the</w:t>
      </w:r>
      <w:r>
        <w:t xml:space="preserve"> </w:t>
      </w:r>
      <w:r>
        <w:t xml:space="preserve">Partial Fractions of Balitbitan (Cynometra ramiflora) against selected</w:t>
      </w:r>
      <w:r>
        <w:t xml:space="preserve"> </w:t>
      </w:r>
      <w:r>
        <w:t xml:space="preserve">bacterial pathogens, Staphylococcus aureus and Escherichia coli. In the</w:t>
      </w:r>
      <w:r>
        <w:t xml:space="preserve"> </w:t>
      </w:r>
      <w:r>
        <w:t xml:space="preserve">preliminary Kupchan method of Partitioning, the ethanolic extract of</w:t>
      </w:r>
      <w:r>
        <w:t xml:space="preserve"> </w:t>
      </w:r>
      <w:r>
        <w:t xml:space="preserve">Balitbitan (Cynometra ramiflora) was partitioned to three solvents which</w:t>
      </w:r>
      <w:r>
        <w:t xml:space="preserve"> </w:t>
      </w:r>
      <w:r>
        <w:t xml:space="preserve">are Hexane, Methanol and DCM and concentrated using a rotary evaporator</w:t>
      </w:r>
      <w:r>
        <w:t xml:space="preserve"> </w:t>
      </w:r>
      <w:r>
        <w:t xml:space="preserve">at low temperature (30°C) and pressure. In the antibacterial testing,</w:t>
      </w:r>
      <w:r>
        <w:t xml:space="preserve"> </w:t>
      </w:r>
      <w:r>
        <w:t xml:space="preserve">the paper disc diffusion method is used in order to</w:t>
      </w:r>
      <w:r>
        <w:t xml:space="preserve"> </w:t>
      </w:r>
      <w:r>
        <w:rPr>
          <w:strike/>
          <w:bCs/>
          <w:b/>
        </w:rPr>
        <w:t xml:space="preserve">indicate</w:t>
      </w:r>
      <w:r>
        <w:t xml:space="preserve"> </w:t>
      </w:r>
      <w:r>
        <w:t xml:space="preserve">(FP-Proc) the zone of inhibition in the evaluation of Antibacterial</w:t>
      </w:r>
      <w:r>
        <w:t xml:space="preserve"> </w:t>
      </w:r>
      <w:r>
        <w:rPr>
          <w:strike/>
          <w:bCs/>
          <w:b/>
        </w:rPr>
        <w:t xml:space="preserve">potential</w:t>
      </w:r>
      <w:r>
        <w:t xml:space="preserve"> </w:t>
      </w:r>
      <w:r>
        <w:t xml:space="preserve">(FP-Gen) of Balitbitan on Mueller Hinton Agar. The</w:t>
      </w:r>
      <w:r>
        <w:t xml:space="preserve"> </w:t>
      </w:r>
      <w:r>
        <w:t xml:space="preserve">treatment evaluated as follows: T1 (Balitbitan extract in Methanol), T2</w:t>
      </w:r>
      <w:r>
        <w:t xml:space="preserve"> </w:t>
      </w:r>
      <w:r>
        <w:t xml:space="preserve">(Balitbitan extract in Hexane) and T3 (Balitbitan extract in DCM). The</w:t>
      </w:r>
      <w:r>
        <w:t xml:space="preserve"> </w:t>
      </w:r>
      <w:r>
        <w:t xml:space="preserve">result of antibacterial testing</w:t>
      </w:r>
      <w:r>
        <w:t xml:space="preserve"> </w:t>
      </w:r>
      <w:r>
        <w:rPr>
          <w:bCs/>
          <w:b/>
        </w:rPr>
        <w:t xml:space="preserve">revealed that the Partial Fraction of</w:t>
      </w:r>
      <w:r>
        <w:rPr>
          <w:bCs/>
          <w:b/>
        </w:rPr>
        <w:t xml:space="preserve"> </w:t>
      </w:r>
      <w:r>
        <w:rPr>
          <w:bCs/>
          <w:b/>
        </w:rPr>
        <w:t xml:space="preserve">Balitbitan (Cynometra ramiflora) did not possess the property to inhibit</w:t>
      </w:r>
      <w:r>
        <w:rPr>
          <w:bCs/>
          <w:b/>
        </w:rPr>
        <w:t xml:space="preserve"> </w:t>
      </w:r>
      <w:r>
        <w:rPr>
          <w:bCs/>
          <w:b/>
        </w:rPr>
        <w:t xml:space="preserve">the growth of Staphylococcus aureus and Escherichia coli [R]</w:t>
      </w:r>
      <w:r>
        <w:t xml:space="preserve">.</w:t>
      </w:r>
      <w:r>
        <w:t xml:space="preserve"> </w:t>
      </w:r>
      <w:r>
        <w:rPr>
          <w:bCs/>
          <w:b/>
        </w:rPr>
        <w:t xml:space="preserve">There was no zone of inhibition when treated with the partial fraction</w:t>
      </w:r>
      <w:r>
        <w:rPr>
          <w:bCs/>
          <w:b/>
        </w:rPr>
        <w:t xml:space="preserve"> </w:t>
      </w:r>
      <w:r>
        <w:rPr>
          <w:bCs/>
          <w:b/>
        </w:rPr>
        <w:t xml:space="preserve">of Balitbitan [R]</w:t>
      </w:r>
      <w:r>
        <w:t xml:space="preserve">.</w:t>
      </w:r>
    </w:p>
    <w:p>
      <w:pPr>
        <w:pStyle w:val="BodyText"/>
      </w:pPr>
      <w:r>
        <w:rPr>
          <w:bCs/>
          <w:b/>
        </w:rPr>
        <w:t xml:space="preserve">B3 · 142 words · 1 hedges · 0.7 per 100 words</w:t>
      </w:r>
    </w:p>
    <w:p>
      <w:pPr>
        <w:pStyle w:val="BodyText"/>
      </w:pPr>
      <w:r>
        <w:t xml:space="preserve">Clean water resources are essential for sustaining life, yet their</w:t>
      </w:r>
      <w:r>
        <w:t xml:space="preserve"> </w:t>
      </w:r>
      <w:r>
        <w:t xml:space="preserve">scarcity and contamination pose significant global challenges,</w:t>
      </w:r>
      <w:r>
        <w:t xml:space="preserve"> </w:t>
      </w:r>
      <w:r>
        <w:t xml:space="preserve">particularly in remote communities. This study addresses the pressing</w:t>
      </w:r>
      <w:r>
        <w:t xml:space="preserve"> </w:t>
      </w:r>
      <w:r>
        <w:t xml:space="preserve">issue of water potability in Sitio Cananaoan, focusing on the detection</w:t>
      </w:r>
      <w:r>
        <w:t xml:space="preserve"> </w:t>
      </w:r>
      <w:r>
        <w:t xml:space="preserve">of contaminants and pollutants that threaten human health. Water and</w:t>
      </w:r>
      <w:r>
        <w:t xml:space="preserve"> </w:t>
      </w:r>
      <w:r>
        <w:t xml:space="preserve">soil samples were collected from the community, and heavy metal analysis</w:t>
      </w:r>
      <w:r>
        <w:t xml:space="preserve"> </w:t>
      </w:r>
      <w:r>
        <w:t xml:space="preserve">was conducted to detect lead (Pb) and mercury (Hg). Microbial testing</w:t>
      </w:r>
      <w:r>
        <w:t xml:space="preserve"> </w:t>
      </w:r>
      <w:r>
        <w:t xml:space="preserve">using Most Probable Number (MPN) was performed to assess the presence of</w:t>
      </w:r>
      <w:r>
        <w:t xml:space="preserve"> </w:t>
      </w:r>
      <w:r>
        <w:t xml:space="preserve">bacterial coliform and Escherichia coli (E. coli) in water samples.</w:t>
      </w:r>
      <w:r>
        <w:t xml:space="preserve"> </w:t>
      </w:r>
      <w:r>
        <w:t xml:space="preserve">Results revealed the presence of bacterial coliform and E. coli in both</w:t>
      </w:r>
      <w:r>
        <w:t xml:space="preserve"> </w:t>
      </w:r>
      <w:r>
        <w:t xml:space="preserve">the main water source and communal water,</w:t>
      </w:r>
      <w:r>
        <w:t xml:space="preserve"> </w:t>
      </w:r>
      <w:r>
        <w:rPr>
          <w:bCs/>
          <w:b/>
        </w:rPr>
        <w:t xml:space="preserve">indicating (EC)</w:t>
      </w:r>
      <w:r>
        <w:t xml:space="preserve"> </w:t>
      </w:r>
      <w:r>
        <w:t xml:space="preserve">unsafe</w:t>
      </w:r>
      <w:r>
        <w:t xml:space="preserve"> </w:t>
      </w:r>
      <w:r>
        <w:t xml:space="preserve">conditions for water consumption for November and December. In addition,</w:t>
      </w:r>
      <w:r>
        <w:t xml:space="preserve"> </w:t>
      </w:r>
      <w:r>
        <w:t xml:space="preserve">lead levels were within safe limits, while mercury levels in soil</w:t>
      </w:r>
      <w:r>
        <w:t xml:space="preserve"> </w:t>
      </w:r>
      <w:r>
        <w:t xml:space="preserve">exceeded recommended guidelines, raising further concerns about</w:t>
      </w:r>
      <w:r>
        <w:t xml:space="preserve"> </w:t>
      </w:r>
      <w:r>
        <w:t xml:space="preserve">environmental health.</w:t>
      </w:r>
    </w:p>
    <w:p>
      <w:pPr>
        <w:pStyle w:val="BodyText"/>
      </w:pPr>
      <w:r>
        <w:rPr>
          <w:bCs/>
          <w:b/>
        </w:rPr>
        <w:t xml:space="preserve">B4 · 231 words · 3 hedges · 1.3 per 100 words</w:t>
      </w:r>
    </w:p>
    <w:p>
      <w:pPr>
        <w:pStyle w:val="BodyText"/>
      </w:pPr>
      <w:r>
        <w:t xml:space="preserve">This study evaluated the acute toxicity and antitussive activity of</w:t>
      </w:r>
      <w:r>
        <w:t xml:space="preserve"> </w:t>
      </w:r>
      <w:r>
        <w:t xml:space="preserve">Mimosa pudica (Makahiya) ethanolic extract in ICR mice to assess its</w:t>
      </w:r>
      <w:r>
        <w:t xml:space="preserve"> </w:t>
      </w:r>
      <w:r>
        <w:t xml:space="preserve">safety and</w:t>
      </w:r>
      <w:r>
        <w:t xml:space="preserve"> </w:t>
      </w:r>
      <w:r>
        <w:rPr>
          <w:strike/>
          <w:bCs/>
          <w:b/>
        </w:rPr>
        <w:t xml:space="preserve">potential</w:t>
      </w:r>
      <w:r>
        <w:t xml:space="preserve"> </w:t>
      </w:r>
      <w:r>
        <w:t xml:space="preserve">(FP-Gen) as a natural antitussive agent or</w:t>
      </w:r>
      <w:r>
        <w:t xml:space="preserve"> </w:t>
      </w:r>
      <w:r>
        <w:t xml:space="preserve">cough suppressant. Following OECD 423 guidelines, mice were administered</w:t>
      </w:r>
      <w:r>
        <w:t xml:space="preserve"> </w:t>
      </w:r>
      <w:r>
        <w:t xml:space="preserve">400 mg/kg and 2000 mg/kg of the extract and monitored for 14 days for</w:t>
      </w:r>
      <w:r>
        <w:t xml:space="preserve"> </w:t>
      </w:r>
      <w:r>
        <w:t xml:space="preserve">signs of toxicity, changes in body weight and mortality. No mortality,</w:t>
      </w:r>
      <w:r>
        <w:t xml:space="preserve"> </w:t>
      </w:r>
      <w:r>
        <w:t xml:space="preserve">distress, or significant weight changes were observed,</w:t>
      </w:r>
      <w:r>
        <w:t xml:space="preserve"> </w:t>
      </w:r>
      <w:r>
        <w:rPr>
          <w:strike/>
          <w:bCs/>
          <w:b/>
        </w:rPr>
        <w:t xml:space="preserve">indicating</w:t>
      </w:r>
      <w:r>
        <w:t xml:space="preserve"> </w:t>
      </w:r>
      <w:r>
        <w:t xml:space="preserve">(FP-Gen) that Mimosa pudica extract is non-toxic up</w:t>
      </w:r>
      <w:r>
        <w:t xml:space="preserve"> </w:t>
      </w:r>
      <w:r>
        <w:t xml:space="preserve">to 2000 mg/kg. For the antitussive assessment, cough was induced using</w:t>
      </w:r>
      <w:r>
        <w:t xml:space="preserve"> </w:t>
      </w:r>
      <w:r>
        <w:t xml:space="preserve">7.5% citric acid aerosol, and the effects of extract doses (100 mg/kg,</w:t>
      </w:r>
      <w:r>
        <w:t xml:space="preserve"> </w:t>
      </w:r>
      <w:r>
        <w:t xml:space="preserve">200 mg/kg, and 400 mg/kg) were compared with a negative control</w:t>
      </w:r>
      <w:r>
        <w:t xml:space="preserve"> </w:t>
      </w:r>
      <w:r>
        <w:t xml:space="preserve">(distilled water) and a positive control (Lagundi capsule, 25 mg/kg). A</w:t>
      </w:r>
      <w:r>
        <w:t xml:space="preserve"> </w:t>
      </w:r>
      <w:r>
        <w:t xml:space="preserve">dose-dependent reduction in cough frequency was observed: 100 mg/kg</w:t>
      </w:r>
      <w:r>
        <w:t xml:space="preserve"> </w:t>
      </w:r>
      <w:r>
        <w:t xml:space="preserve">reduced coughs by 37.86%, 200 mg/kg by 60.72%, and 400 mg/kg by 70.00%.</w:t>
      </w:r>
      <w:r>
        <w:t xml:space="preserve"> </w:t>
      </w:r>
      <w:r>
        <w:t xml:space="preserve">The 400 mg/kg dose had the strongest effect among the treatment groups</w:t>
      </w:r>
      <w:r>
        <w:t xml:space="preserve"> </w:t>
      </w:r>
      <w:r>
        <w:t xml:space="preserve">and was only 11.42% less effective than Lagundi, which achieved an</w:t>
      </w:r>
      <w:r>
        <w:t xml:space="preserve"> </w:t>
      </w:r>
      <w:r>
        <w:t xml:space="preserve">81.42% reduction. These results</w:t>
      </w:r>
      <w:r>
        <w:t xml:space="preserve"> </w:t>
      </w:r>
      <w:r>
        <w:rPr>
          <w:bCs/>
          <w:b/>
        </w:rPr>
        <w:t xml:space="preserve">suggest (EC)</w:t>
      </w:r>
      <w:r>
        <w:t xml:space="preserve"> </w:t>
      </w:r>
      <w:r>
        <w:t xml:space="preserve">that Mimosa pudica has</w:t>
      </w:r>
      <w:r>
        <w:t xml:space="preserve"> </w:t>
      </w:r>
      <w:r>
        <w:t xml:space="preserve">promising antitussive properties and a wide safety margin, supporting</w:t>
      </w:r>
      <w:r>
        <w:t xml:space="preserve"> </w:t>
      </w:r>
      <w:r>
        <w:t xml:space="preserve">its</w:t>
      </w:r>
      <w:r>
        <w:t xml:space="preserve"> </w:t>
      </w:r>
      <w:r>
        <w:rPr>
          <w:bCs/>
          <w:b/>
        </w:rPr>
        <w:t xml:space="preserve">potential (EC)</w:t>
      </w:r>
      <w:r>
        <w:t xml:space="preserve"> </w:t>
      </w:r>
      <w:r>
        <w:t xml:space="preserve">as an accessible herbal alternative for managing</w:t>
      </w:r>
      <w:r>
        <w:t xml:space="preserve"> </w:t>
      </w:r>
      <w:r>
        <w:t xml:space="preserve">cough. The presence of bioactive compounds such as flavonoids and</w:t>
      </w:r>
      <w:r>
        <w:t xml:space="preserve"> </w:t>
      </w:r>
      <w:r>
        <w:t xml:space="preserve">saponins</w:t>
      </w:r>
      <w:r>
        <w:t xml:space="preserve"> </w:t>
      </w:r>
      <w:r>
        <w:rPr>
          <w:bCs/>
          <w:b/>
        </w:rPr>
        <w:t xml:space="preserve">may (EC)</w:t>
      </w:r>
      <w:r>
        <w:t xml:space="preserve"> </w:t>
      </w:r>
      <w:r>
        <w:t xml:space="preserve">contribute to its therapeutic effects. Further</w:t>
      </w:r>
      <w:r>
        <w:t xml:space="preserve"> </w:t>
      </w:r>
      <w:r>
        <w:t xml:space="preserve">studies are</w:t>
      </w:r>
      <w:r>
        <w:t xml:space="preserve"> </w:t>
      </w:r>
      <w:r>
        <w:rPr>
          <w:strike/>
          <w:bCs/>
          <w:b/>
        </w:rPr>
        <w:t xml:space="preserve">recommended</w:t>
      </w:r>
      <w:r>
        <w:t xml:space="preserve"> </w:t>
      </w:r>
      <w:r>
        <w:t xml:space="preserve">(FP-Rec) to confirm its long-term</w:t>
      </w:r>
      <w:r>
        <w:t xml:space="preserve"> </w:t>
      </w:r>
      <w:r>
        <w:t xml:space="preserve">safety, refine dosing, and better understand its mechanisms of action.</w:t>
      </w:r>
    </w:p>
    <w:p>
      <w:pPr>
        <w:pStyle w:val="BodyText"/>
      </w:pPr>
      <w:r>
        <w:rPr>
          <w:bCs/>
          <w:b/>
        </w:rPr>
        <w:t xml:space="preserve">B5 · 245 words · 1 hedges · 0.41 per 100 words</w:t>
      </w:r>
    </w:p>
    <w:p>
      <w:pPr>
        <w:pStyle w:val="BodyText"/>
      </w:pPr>
      <w:r>
        <w:t xml:space="preserve">Throughout the years, foodborne pathogens have posed a significant</w:t>
      </w:r>
      <w:r>
        <w:t xml:space="preserve"> </w:t>
      </w:r>
      <w:r>
        <w:t xml:space="preserve">threat to the health and safety of many. With the ongoing adversity</w:t>
      </w:r>
      <w:r>
        <w:t xml:space="preserve"> </w:t>
      </w:r>
      <w:r>
        <w:t xml:space="preserve">brought by antimicrobial resistance, other antibacterials are necessary.</w:t>
      </w:r>
      <w:r>
        <w:t xml:space="preserve"> </w:t>
      </w:r>
      <w:r>
        <w:t xml:space="preserve">In the current study, the antibacterial and antioxidant</w:t>
      </w:r>
      <w:r>
        <w:t xml:space="preserve"> </w:t>
      </w:r>
      <w:r>
        <w:rPr>
          <w:strike/>
          <w:bCs/>
          <w:b/>
        </w:rPr>
        <w:t xml:space="preserve">potential</w:t>
      </w:r>
      <w:r>
        <w:t xml:space="preserve"> </w:t>
      </w:r>
      <w:r>
        <w:t xml:space="preserve">(FP-Gen) of Copper oxide nanoparticles (CuO NPs) were</w:t>
      </w:r>
      <w:r>
        <w:t xml:space="preserve"> </w:t>
      </w:r>
      <w:r>
        <w:t xml:space="preserve">evaluated. The green amaranth plant (Amaranthus viridis) leaves were</w:t>
      </w:r>
      <w:r>
        <w:t xml:space="preserve"> </w:t>
      </w:r>
      <w:r>
        <w:t xml:space="preserve">used to synthesize the green CuO NPs. Successful formation of CuO NPs</w:t>
      </w:r>
      <w:r>
        <w:t xml:space="preserve"> </w:t>
      </w:r>
      <w:r>
        <w:t xml:space="preserve">was visually confirmed through color change, through Fourier Transform</w:t>
      </w:r>
      <w:r>
        <w:t xml:space="preserve"> </w:t>
      </w:r>
      <w:r>
        <w:t xml:space="preserve">Infrared Spectroscopy, and through the absorbance peak at 230nm on the</w:t>
      </w:r>
      <w:r>
        <w:t xml:space="preserve"> </w:t>
      </w:r>
      <w:r>
        <w:t xml:space="preserve">UV-Vis spectrophotometry. Greenly synthesized CuO NPs had an average</w:t>
      </w:r>
      <w:r>
        <w:t xml:space="preserve"> </w:t>
      </w:r>
      <w:r>
        <w:t xml:space="preserve">size of 89.3 nm in the shape of ellipsoids when characterized by</w:t>
      </w:r>
      <w:r>
        <w:t xml:space="preserve"> </w:t>
      </w:r>
      <w:r>
        <w:t xml:space="preserve">Scanning Electron Microscope and ImageJ imaging software. Through DPPH</w:t>
      </w:r>
      <w:r>
        <w:t xml:space="preserve"> </w:t>
      </w:r>
      <w:r>
        <w:t xml:space="preserve">assay, the antioxidant activities of the CuO NPs were determined to have</w:t>
      </w:r>
      <w:r>
        <w:t xml:space="preserve"> </w:t>
      </w:r>
      <w:r>
        <w:t xml:space="preserve">an IC₅₀ value of 853µg/mL. Moreover, using growth-kinetic assay,</w:t>
      </w:r>
      <w:r>
        <w:t xml:space="preserve"> </w:t>
      </w:r>
      <w:r>
        <w:t xml:space="preserve">antibacterial activities of the different concentrations of CuO NPs were</w:t>
      </w:r>
      <w:r>
        <w:t xml:space="preserve"> </w:t>
      </w:r>
      <w:r>
        <w:t xml:space="preserve">determined and found to be statistically significantly different (p</w:t>
      </w:r>
      <w:r>
        <w:t xml:space="preserve"> </w:t>
      </w:r>
      <w:r>
        <w:t xml:space="preserve">&lt;0.05) from each other for the Staphylococcus aureus, Salmonella</w:t>
      </w:r>
      <w:r>
        <w:t xml:space="preserve"> </w:t>
      </w:r>
      <w:r>
        <w:t xml:space="preserve">enterica serovar Typhimurium, Shigella sp., and Bacillus cereus,</w:t>
      </w:r>
      <w:r>
        <w:t xml:space="preserve"> </w:t>
      </w:r>
      <w:r>
        <w:rPr>
          <w:strike/>
          <w:bCs/>
          <w:b/>
        </w:rPr>
        <w:t xml:space="preserve">indicating</w:t>
      </w:r>
      <w:r>
        <w:t xml:space="preserve"> </w:t>
      </w:r>
      <w:r>
        <w:t xml:space="preserve">(FP-Gen) a dose-dependent response. In contrast, no</w:t>
      </w:r>
      <w:r>
        <w:t xml:space="preserve"> </w:t>
      </w:r>
      <w:r>
        <w:t xml:space="preserve">significant difference (p&gt;0.05) was observed for the Enteropathogenic</w:t>
      </w:r>
      <w:r>
        <w:t xml:space="preserve"> </w:t>
      </w:r>
      <w:r>
        <w:t xml:space="preserve">Escherichia coli (EPEC). Minimum Inhibitory Concentration (MIC) values</w:t>
      </w:r>
      <w:r>
        <w:t xml:space="preserve"> </w:t>
      </w:r>
      <w:r>
        <w:t xml:space="preserve">were determined to be 1000 µg/mL except for EPEC, with MIC value at 500</w:t>
      </w:r>
      <w:r>
        <w:t xml:space="preserve"> </w:t>
      </w:r>
      <w:r>
        <w:t xml:space="preserve">µg/mL. However, Minimum Bactericidal Concentration (MBC) at 2000 µg/mL</w:t>
      </w:r>
      <w:r>
        <w:t xml:space="preserve"> </w:t>
      </w:r>
      <w:r>
        <w:t xml:space="preserve">was observed for all test organisms. The study offers novel findings in</w:t>
      </w:r>
      <w:r>
        <w:t xml:space="preserve"> </w:t>
      </w:r>
      <w:r>
        <w:t xml:space="preserve">the field of green amaranth synthesized nanoparticles as</w:t>
      </w:r>
      <w:r>
        <w:t xml:space="preserve"> </w:t>
      </w:r>
      <w:r>
        <w:rPr>
          <w:bCs/>
          <w:b/>
        </w:rPr>
        <w:t xml:space="preserve">potential</w:t>
      </w:r>
      <w:r>
        <w:rPr>
          <w:bCs/>
          <w:b/>
        </w:rPr>
        <w:t xml:space="preserve"> </w:t>
      </w:r>
      <w:r>
        <w:rPr>
          <w:bCs/>
          <w:b/>
        </w:rPr>
        <w:t xml:space="preserve">(EC)</w:t>
      </w:r>
      <w:r>
        <w:t xml:space="preserve"> </w:t>
      </w:r>
      <w:r>
        <w:t xml:space="preserve">antioxidant and antibacterial sources.</w:t>
      </w:r>
    </w:p>
    <w:p>
      <w:pPr>
        <w:pStyle w:val="BodyText"/>
      </w:pPr>
      <w:r>
        <w:rPr>
          <w:bCs/>
          <w:b/>
        </w:rPr>
        <w:t xml:space="preserve">B6 · 232 words · 0 hedges · 0.0 per 100 words</w:t>
      </w:r>
    </w:p>
    <w:p>
      <w:pPr>
        <w:pStyle w:val="BodyText"/>
      </w:pPr>
      <w:r>
        <w:t xml:space="preserve">The study</w:t>
      </w:r>
      <w:r>
        <w:t xml:space="preserve"> </w:t>
      </w:r>
      <w:r>
        <w:rPr>
          <w:strike/>
          <w:bCs/>
          <w:b/>
        </w:rPr>
        <w:t xml:space="preserve">would</w:t>
      </w:r>
      <w:r>
        <w:t xml:space="preserve"> </w:t>
      </w:r>
      <w:r>
        <w:t xml:space="preserve">(FP-Gen) be on developing and optimizing</w:t>
      </w:r>
      <w:r>
        <w:t xml:space="preserve"> </w:t>
      </w:r>
      <w:r>
        <w:t xml:space="preserve">eco-bricks using a mixture of SUPs and UCO developed through trial and</w:t>
      </w:r>
      <w:r>
        <w:t xml:space="preserve"> </w:t>
      </w:r>
      <w:r>
        <w:t xml:space="preserve">error. SUPs recovered from various donors from the Magalang Public</w:t>
      </w:r>
      <w:r>
        <w:t xml:space="preserve"> </w:t>
      </w:r>
      <w:r>
        <w:t xml:space="preserve">Market, Pampanga and UCO. The preliminary trials established that</w:t>
      </w:r>
      <w:r>
        <w:t xml:space="preserve"> </w:t>
      </w:r>
      <w:r>
        <w:t xml:space="preserve">molding faces some difficulty with increased ratios of UCO to SUPs.</w:t>
      </w:r>
      <w:r>
        <w:t xml:space="preserve"> </w:t>
      </w:r>
      <w:r>
        <w:t xml:space="preserve">Thus, in the optimization process, varying ratios of UCO was used,</w:t>
      </w:r>
      <w:r>
        <w:t xml:space="preserve"> </w:t>
      </w:r>
      <w:r>
        <w:t xml:space="preserve">starting with UCO to SUPs 1:1 as treatment 1, a decreasing ratio of UCO</w:t>
      </w:r>
      <w:r>
        <w:t xml:space="preserve"> </w:t>
      </w:r>
      <w:r>
        <w:t xml:space="preserve">to SUPs. At equal parts by weight of UCO and SUPs, optimization started</w:t>
      </w:r>
      <w:r>
        <w:t xml:space="preserve"> </w:t>
      </w:r>
      <w:r>
        <w:t xml:space="preserve">at Treatment 1 with a 1:1 ratio. Treatments 2—5 proceeded similarly,</w:t>
      </w:r>
      <w:r>
        <w:t xml:space="preserve"> </w:t>
      </w:r>
      <w:r>
        <w:t xml:space="preserve">increasing the ratio of UCO to SUPs. Density measurements, water</w:t>
      </w:r>
      <w:r>
        <w:t xml:space="preserve"> </w:t>
      </w:r>
      <w:r>
        <w:t xml:space="preserve">absorption, and drop tests were all performed and observed. A</w:t>
      </w:r>
      <w:r>
        <w:t xml:space="preserve"> </w:t>
      </w:r>
      <w:r>
        <w:t xml:space="preserve">self-testing protocol based on current literature was used. The density</w:t>
      </w:r>
      <w:r>
        <w:t xml:space="preserve"> </w:t>
      </w:r>
      <w:r>
        <w:t xml:space="preserve">was calculated relative to mass and volume; however, the water</w:t>
      </w:r>
      <w:r>
        <w:t xml:space="preserve"> </w:t>
      </w:r>
      <w:r>
        <w:t xml:space="preserve">absorption test yielded inconsistent findings. A drop test was also</w:t>
      </w:r>
      <w:r>
        <w:t xml:space="preserve"> </w:t>
      </w:r>
      <w:r>
        <w:t xml:space="preserve">performed, which</w:t>
      </w:r>
      <w:r>
        <w:t xml:space="preserve"> </w:t>
      </w:r>
      <w:r>
        <w:rPr>
          <w:bCs/>
          <w:b/>
        </w:rPr>
        <w:t xml:space="preserve">revealed that the eco-bricks from all treatments were</w:t>
      </w:r>
      <w:r>
        <w:rPr>
          <w:bCs/>
          <w:b/>
        </w:rPr>
        <w:t xml:space="preserve"> </w:t>
      </w:r>
      <w:r>
        <w:rPr>
          <w:bCs/>
          <w:b/>
        </w:rPr>
        <w:t xml:space="preserve">significantly damaged at the height of one meter, making them a weak,</w:t>
      </w:r>
      <w:r>
        <w:rPr>
          <w:bCs/>
          <w:b/>
        </w:rPr>
        <w:t xml:space="preserve"> </w:t>
      </w:r>
      <w:r>
        <w:rPr>
          <w:bCs/>
          <w:b/>
        </w:rPr>
        <w:t xml:space="preserve">unsuitable material to use in building walkways [R]</w:t>
      </w:r>
      <w:r>
        <w:t xml:space="preserve">. This study is</w:t>
      </w:r>
      <w:r>
        <w:t xml:space="preserve"> </w:t>
      </w:r>
      <w:r>
        <w:t xml:space="preserve">essential for getting insights into eco-brick manufacture because the</w:t>
      </w:r>
      <w:r>
        <w:t xml:space="preserve"> </w:t>
      </w:r>
      <w:r>
        <w:t xml:space="preserve">workability of SUPs and UCOs as raw materials is proven.</w:t>
      </w:r>
      <w:r>
        <w:t xml:space="preserve"> </w:t>
      </w:r>
      <w:r>
        <w:rPr>
          <w:bCs/>
          <w:b/>
        </w:rPr>
        <w:t xml:space="preserve">The research</w:t>
      </w:r>
      <w:r>
        <w:rPr>
          <w:bCs/>
          <w:b/>
        </w:rPr>
        <w:t xml:space="preserve"> </w:t>
      </w:r>
      <w:r>
        <w:rPr>
          <w:bCs/>
          <w:b/>
        </w:rPr>
        <w:t xml:space="preserve">findings do not apply to buildings [G]</w:t>
      </w:r>
      <w:r>
        <w:t xml:space="preserve">. Therefore, further research</w:t>
      </w:r>
      <w:r>
        <w:t xml:space="preserve"> </w:t>
      </w:r>
      <w:r>
        <w:rPr>
          <w:strike/>
          <w:bCs/>
          <w:b/>
        </w:rPr>
        <w:t xml:space="preserve">will</w:t>
      </w:r>
      <w:r>
        <w:t xml:space="preserve"> </w:t>
      </w:r>
      <w:r>
        <w:t xml:space="preserve">(FP-Gen) aid in underlining the importance of optimizing</w:t>
      </w:r>
      <w:r>
        <w:t xml:space="preserve"> </w:t>
      </w:r>
      <w:r>
        <w:t xml:space="preserve">the ingredient ratios to acquire desirable quality eco-bricks for</w:t>
      </w:r>
      <w:r>
        <w:t xml:space="preserve"> </w:t>
      </w:r>
      <w:r>
        <w:t xml:space="preserve">sustainable construction applications.</w:t>
      </w:r>
    </w:p>
    <w:p>
      <w:pPr>
        <w:pStyle w:val="BodyText"/>
      </w:pPr>
      <w:r>
        <w:rPr>
          <w:bCs/>
          <w:b/>
        </w:rPr>
        <w:t xml:space="preserve">B7 · 266 words · 3 hedges · 1.13 per 100 words</w:t>
      </w:r>
    </w:p>
    <w:p>
      <w:pPr>
        <w:pStyle w:val="BodyText"/>
      </w:pPr>
      <w:r>
        <w:t xml:space="preserve">The study</w:t>
      </w:r>
      <w:r>
        <w:t xml:space="preserve"> </w:t>
      </w:r>
      <w:r>
        <w:rPr>
          <w:strike/>
          <w:bCs/>
          <w:b/>
        </w:rPr>
        <w:t xml:space="preserve">generally</w:t>
      </w:r>
      <w:r>
        <w:t xml:space="preserve"> </w:t>
      </w:r>
      <w:r>
        <w:t xml:space="preserve">(FP-Proc) aimed to evaluate the embryo</w:t>
      </w:r>
      <w:r>
        <w:t xml:space="preserve"> </w:t>
      </w:r>
      <w:r>
        <w:t xml:space="preserve">toxicity, lethality, and teratogenicity of Ziziphus talanai-infused</w:t>
      </w:r>
      <w:r>
        <w:t xml:space="preserve"> </w:t>
      </w:r>
      <w:r>
        <w:t xml:space="preserve">nanozeolite pellets on Danio rerio was performed at the Biology and</w:t>
      </w:r>
      <w:r>
        <w:t xml:space="preserve"> </w:t>
      </w:r>
      <w:r>
        <w:t xml:space="preserve">Chemistry Laboratory of Pampanga State Agricultural University from</w:t>
      </w:r>
      <w:r>
        <w:t xml:space="preserve"> </w:t>
      </w:r>
      <w:r>
        <w:t xml:space="preserve">October 2023 to January 2024. Various treatments in the formulation of</w:t>
      </w:r>
      <w:r>
        <w:t xml:space="preserve"> </w:t>
      </w:r>
      <w:r>
        <w:t xml:space="preserve">pellets and laboratory experiments were set up using Completely</w:t>
      </w:r>
      <w:r>
        <w:t xml:space="preserve"> </w:t>
      </w:r>
      <w:r>
        <w:t xml:space="preserve">Randomized Design (CRD). The study showed that cassava starch as</w:t>
      </w:r>
      <w:r>
        <w:t xml:space="preserve"> </w:t>
      </w:r>
      <w:r>
        <w:t xml:space="preserve">combined with Ziziphus talanai-infused nanozeolite at 1:9 ratio improved</w:t>
      </w:r>
      <w:r>
        <w:t xml:space="preserve"> </w:t>
      </w:r>
      <w:r>
        <w:t xml:space="preserve">the water-holding capacity of derived pellets, thus making a remarkable</w:t>
      </w:r>
      <w:r>
        <w:t xml:space="preserve"> </w:t>
      </w:r>
      <w:r>
        <w:t xml:space="preserve">choice as a binder. The hatching and survival of Danio rerio embryos</w:t>
      </w:r>
      <w:r>
        <w:t xml:space="preserve"> </w:t>
      </w:r>
      <w:r>
        <w:t xml:space="preserve">were enhanced by 200 ppm concentration of Z. talanai-infused nanozeolite</w:t>
      </w:r>
      <w:r>
        <w:t xml:space="preserve"> </w:t>
      </w:r>
      <w:r>
        <w:t xml:space="preserve">pellet suspension while demonstrating lower toxicity compared to other</w:t>
      </w:r>
      <w:r>
        <w:t xml:space="preserve"> </w:t>
      </w:r>
      <w:r>
        <w:t xml:space="preserve">concentrations tested. Based on the Acute Toxicity Index, the median</w:t>
      </w:r>
      <w:r>
        <w:t xml:space="preserve"> </w:t>
      </w:r>
      <w:r>
        <w:t xml:space="preserve">lethal concentration (LC₅₀) in D. rerio embryos at 96 hpf (hours</w:t>
      </w:r>
      <w:r>
        <w:t xml:space="preserve"> </w:t>
      </w:r>
      <w:r>
        <w:t xml:space="preserve">post-fertilization) showed that Z. talanai-infused nanozeolite pellet at</w:t>
      </w:r>
      <w:r>
        <w:t xml:space="preserve"> </w:t>
      </w:r>
      <w:r>
        <w:t xml:space="preserve">a concentration of 49.79 µg/mL falls within the</w:t>
      </w:r>
      <w:r>
        <w:t xml:space="preserve"> </w:t>
      </w:r>
      <w:r>
        <w:t xml:space="preserve">‘</w:t>
      </w:r>
      <w:r>
        <w:t xml:space="preserve">slightly toxic</w:t>
      </w:r>
      <w:r>
        <w:t xml:space="preserve">’</w:t>
      </w:r>
      <w:r>
        <w:t xml:space="preserve"> </w:t>
      </w:r>
      <w:r>
        <w:t xml:space="preserve">classification, thus demonstrating that nanozeolite enhances the</w:t>
      </w:r>
      <w:r>
        <w:t xml:space="preserve"> </w:t>
      </w:r>
      <w:r>
        <w:t xml:space="preserve">delivery of compounds within Z. talanai extract. Coagulation of embryos</w:t>
      </w:r>
      <w:r>
        <w:t xml:space="preserve"> </w:t>
      </w:r>
      <w:r>
        <w:t xml:space="preserve">was primarily observed within 400 ppm to 1,000 ppm concentrations of Z.</w:t>
      </w:r>
      <w:r>
        <w:t xml:space="preserve"> </w:t>
      </w:r>
      <w:r>
        <w:t xml:space="preserve">talanai-infused nanozeolite pellet suspensions under 40x magnification,</w:t>
      </w:r>
      <w:r>
        <w:t xml:space="preserve"> </w:t>
      </w:r>
      <w:r>
        <w:rPr>
          <w:bCs/>
          <w:b/>
        </w:rPr>
        <w:t xml:space="preserve">suggesting (EC)</w:t>
      </w:r>
      <w:r>
        <w:t xml:space="preserve"> </w:t>
      </w:r>
      <w:r>
        <w:t xml:space="preserve">that it affects early embryonic development and</w:t>
      </w:r>
      <w:r>
        <w:t xml:space="preserve"> </w:t>
      </w:r>
      <w:r>
        <w:t xml:space="preserve">prevents the progression of other lethality markers, such as the absence</w:t>
      </w:r>
      <w:r>
        <w:t xml:space="preserve"> </w:t>
      </w:r>
      <w:r>
        <w:t xml:space="preserve">of somite development, non-detachment of the tail, and absence of</w:t>
      </w:r>
      <w:r>
        <w:t xml:space="preserve"> </w:t>
      </w:r>
      <w:r>
        <w:t xml:space="preserve">cardiac activity. Teratogenic effects on the body length of D. rerio</w:t>
      </w:r>
      <w:r>
        <w:t xml:space="preserve"> </w:t>
      </w:r>
      <w:r>
        <w:t xml:space="preserve">hatchlings were observed,</w:t>
      </w:r>
      <w:r>
        <w:t xml:space="preserve"> </w:t>
      </w:r>
      <w:r>
        <w:rPr>
          <w:bCs/>
          <w:b/>
        </w:rPr>
        <w:t xml:space="preserve">inferring (EC)</w:t>
      </w:r>
      <w:r>
        <w:t xml:space="preserve"> </w:t>
      </w:r>
      <w:r>
        <w:t xml:space="preserve">that such observation was</w:t>
      </w:r>
      <w:r>
        <w:t xml:space="preserve"> </w:t>
      </w:r>
      <w:r>
        <w:t xml:space="preserve">induced by the Z. talanai-infused nanozeolite pellet suspension. Hence,</w:t>
      </w:r>
      <w:r>
        <w:t xml:space="preserve"> </w:t>
      </w:r>
      <w:r>
        <w:t xml:space="preserve">the biosynthesis of Z. talanai-infused nanozeolite pellets is feasible</w:t>
      </w:r>
      <w:r>
        <w:t xml:space="preserve"> </w:t>
      </w:r>
      <w:r>
        <w:t xml:space="preserve">and</w:t>
      </w:r>
      <w:r>
        <w:t xml:space="preserve"> </w:t>
      </w:r>
      <w:r>
        <w:rPr>
          <w:bCs/>
          <w:b/>
        </w:rPr>
        <w:t xml:space="preserve">may (EC)</w:t>
      </w:r>
      <w:r>
        <w:t xml:space="preserve"> </w:t>
      </w:r>
      <w:r>
        <w:t xml:space="preserve">affect the overall development of D. rerio embryos.</w:t>
      </w:r>
    </w:p>
    <w:p>
      <w:pPr>
        <w:pStyle w:val="BodyText"/>
      </w:pPr>
      <w:r>
        <w:rPr>
          <w:bCs/>
          <w:b/>
        </w:rPr>
        <w:t xml:space="preserve">B8 · 241 words · 2 hedges · 0.83 per 100 words</w:t>
      </w:r>
    </w:p>
    <w:p>
      <w:pPr>
        <w:pStyle w:val="BodyText"/>
      </w:pPr>
      <w:r>
        <w:t xml:space="preserve">Recently, nanotechnology has emerged as a rapidly growing field with</w:t>
      </w:r>
      <w:r>
        <w:t xml:space="preserve"> </w:t>
      </w:r>
      <w:r>
        <w:t xml:space="preserve">various biomedical applications. In this study, silver nanoparticles</w:t>
      </w:r>
      <w:r>
        <w:t xml:space="preserve"> </w:t>
      </w:r>
      <w:r>
        <w:t xml:space="preserve">(AgNPs) were biosynthesized using the phytopathogenic fungus</w:t>
      </w:r>
      <w:r>
        <w:t xml:space="preserve"> </w:t>
      </w:r>
      <w:r>
        <w:t xml:space="preserve">Colletotrichum spp. isolated from infected tamarind leaves, and its</w:t>
      </w:r>
      <w:r>
        <w:t xml:space="preserve"> </w:t>
      </w:r>
      <w:r>
        <w:t xml:space="preserve">antibacterial action was assessed against enteric pathogens found in</w:t>
      </w:r>
      <w:r>
        <w:t xml:space="preserve"> </w:t>
      </w:r>
      <w:r>
        <w:t xml:space="preserve">broiler chicken (E. coli, S. typhi, Shigella spp.). The bio-reduction of</w:t>
      </w:r>
      <w:r>
        <w:t xml:space="preserve"> </w:t>
      </w:r>
      <w:r>
        <w:t xml:space="preserve">AgNPs was characterized by visual inspection of color change (clear to</w:t>
      </w:r>
      <w:r>
        <w:t xml:space="preserve"> </w:t>
      </w:r>
      <w:r>
        <w:t xml:space="preserve">brown), followed by the analysis of UV-visible spectroscopy which</w:t>
      </w:r>
      <w:r>
        <w:t xml:space="preserve"> </w:t>
      </w:r>
      <w:r>
        <w:t xml:space="preserve">confirms the successful production of AgNPs (strong absorption peak</w:t>
      </w:r>
      <w:r>
        <w:t xml:space="preserve"> </w:t>
      </w:r>
      <w:r>
        <w:t xml:space="preserve">monitored at 420nm). The SEM photomicrographs revealed that the</w:t>
      </w:r>
      <w:r>
        <w:t xml:space="preserve"> </w:t>
      </w:r>
      <w:r>
        <w:t xml:space="preserve">nanoparticles were primarily composed of silver ions with sizes ranging</w:t>
      </w:r>
      <w:r>
        <w:t xml:space="preserve"> </w:t>
      </w:r>
      <w:r>
        <w:t xml:space="preserve">from 66.96nm to 89.29nm. The antibacterial</w:t>
      </w:r>
      <w:r>
        <w:t xml:space="preserve"> </w:t>
      </w:r>
      <w:r>
        <w:rPr>
          <w:strike/>
          <w:bCs/>
          <w:b/>
        </w:rPr>
        <w:t xml:space="preserve">potential</w:t>
      </w:r>
      <w:r>
        <w:t xml:space="preserve"> </w:t>
      </w:r>
      <w:r>
        <w:t xml:space="preserve">(FP-Gen) of</w:t>
      </w:r>
      <w:r>
        <w:t xml:space="preserve"> </w:t>
      </w:r>
      <w:r>
        <w:t xml:space="preserve">fungus-mediated AgNPs was distinguished by performing the agar well</w:t>
      </w:r>
      <w:r>
        <w:t xml:space="preserve"> </w:t>
      </w:r>
      <w:r>
        <w:t xml:space="preserve">diffusion method and determining minimum bactericidal concentration</w:t>
      </w:r>
      <w:r>
        <w:t xml:space="preserve"> </w:t>
      </w:r>
      <w:r>
        <w:t xml:space="preserve">(MBC) and minimum inhibitory concentration (MIC) via resazurin and MTT</w:t>
      </w:r>
      <w:r>
        <w:t xml:space="preserve"> </w:t>
      </w:r>
      <w:r>
        <w:t xml:space="preserve">assays. The antibacterial activity of AgNPs was found to outstandingly</w:t>
      </w:r>
      <w:r>
        <w:t xml:space="preserve"> </w:t>
      </w:r>
      <w:r>
        <w:t xml:space="preserve">inhibit all bacterial strains in a concentration-dependent manner, with</w:t>
      </w:r>
      <w:r>
        <w:t xml:space="preserve"> </w:t>
      </w:r>
      <w:r>
        <w:t xml:space="preserve">the largest mean zonal inhibition of 16.1mm at 6g. The MBC and MIC were</w:t>
      </w:r>
      <w:r>
        <w:t xml:space="preserve"> </w:t>
      </w:r>
      <w:r>
        <w:t xml:space="preserve">found to be in the range of &lt;0.5g to 0.5g, and 0.5g to 1g, in both</w:t>
      </w:r>
      <w:r>
        <w:t xml:space="preserve"> </w:t>
      </w:r>
      <w:r>
        <w:t xml:space="preserve">assays, respectively. The statistical analysis showed that there was a</w:t>
      </w:r>
      <w:r>
        <w:t xml:space="preserve"> </w:t>
      </w:r>
      <w:r>
        <w:t xml:space="preserve">significant difference between the concentrations (p-value: 0.000) and</w:t>
      </w:r>
      <w:r>
        <w:t xml:space="preserve"> </w:t>
      </w:r>
      <w:r>
        <w:t xml:space="preserve">no significant difference when compared to traditional antibiotics</w:t>
      </w:r>
      <w:r>
        <w:t xml:space="preserve"> </w:t>
      </w:r>
      <w:r>
        <w:t xml:space="preserve">(p-value: &gt;0.05). Finally, the biosynthesized AgNPs successfully</w:t>
      </w:r>
      <w:r>
        <w:t xml:space="preserve"> </w:t>
      </w:r>
      <w:r>
        <w:t xml:space="preserve">inhibited the common pathogens found in chicken. Hereafter, its</w:t>
      </w:r>
      <w:r>
        <w:t xml:space="preserve"> </w:t>
      </w:r>
      <w:r>
        <w:rPr>
          <w:bCs/>
          <w:b/>
        </w:rPr>
        <w:t xml:space="preserve">potential (EC)</w:t>
      </w:r>
      <w:r>
        <w:t xml:space="preserve"> </w:t>
      </w:r>
      <w:r>
        <w:t xml:space="preserve">to control bacterial infections caused by multi-drug</w:t>
      </w:r>
      <w:r>
        <w:t xml:space="preserve"> </w:t>
      </w:r>
      <w:r>
        <w:t xml:space="preserve">resistant pathogens</w:t>
      </w:r>
      <w:r>
        <w:t xml:space="preserve"> </w:t>
      </w:r>
      <w:r>
        <w:rPr>
          <w:bCs/>
          <w:b/>
        </w:rPr>
        <w:t xml:space="preserve">could (EC)</w:t>
      </w:r>
      <w:r>
        <w:t xml:space="preserve"> </w:t>
      </w:r>
      <w:r>
        <w:t xml:space="preserve">also be considered.</w:t>
      </w:r>
    </w:p>
    <w:p>
      <w:pPr>
        <w:pStyle w:val="BodyText"/>
      </w:pPr>
      <w:r>
        <w:rPr>
          <w:bCs/>
          <w:b/>
        </w:rPr>
        <w:t xml:space="preserve">B9 · 212 words · 0 hedges · 0.0 per 100 words</w:t>
      </w:r>
    </w:p>
    <w:p>
      <w:pPr>
        <w:pStyle w:val="BodyText"/>
      </w:pPr>
      <w:r>
        <w:t xml:space="preserve">This study aimed to identify the histoprotective</w:t>
      </w:r>
      <w:r>
        <w:t xml:space="preserve"> </w:t>
      </w:r>
      <w:r>
        <w:rPr>
          <w:strike/>
          <w:bCs/>
          <w:b/>
        </w:rPr>
        <w:t xml:space="preserve">potential</w:t>
      </w:r>
      <w:r>
        <w:t xml:space="preserve"> </w:t>
      </w:r>
      <w:r>
        <w:t xml:space="preserve">(FP-Gen) of Balakat extract (Ziziphus talanai) against monosodium</w:t>
      </w:r>
      <w:r>
        <w:t xml:space="preserve"> </w:t>
      </w:r>
      <w:r>
        <w:t xml:space="preserve">glutamate effect to the specific vital organs of Mus musculus through</w:t>
      </w:r>
      <w:r>
        <w:t xml:space="preserve"> </w:t>
      </w:r>
      <w:r>
        <w:t xml:space="preserve">observing the lesions / aberrations to the heart, liver and kidney. Each</w:t>
      </w:r>
      <w:r>
        <w:t xml:space="preserve"> </w:t>
      </w:r>
      <w:r>
        <w:t xml:space="preserve">replication and treatments were observed under the compound microscope</w:t>
      </w:r>
      <w:r>
        <w:t xml:space="preserve"> </w:t>
      </w:r>
      <w:r>
        <w:t xml:space="preserve">in a 100x and 400x objective.</w:t>
      </w:r>
      <w:r>
        <w:t xml:space="preserve"> </w:t>
      </w:r>
      <w:r>
        <w:rPr>
          <w:bCs/>
          <w:b/>
        </w:rPr>
        <w:t xml:space="preserve">All mice treated with pure leaf extract</w:t>
      </w:r>
      <w:r>
        <w:rPr>
          <w:bCs/>
          <w:b/>
        </w:rPr>
        <w:t xml:space="preserve"> </w:t>
      </w:r>
      <w:r>
        <w:rPr>
          <w:bCs/>
          <w:b/>
        </w:rPr>
        <w:t xml:space="preserve">of Z. talanai, monosodium glutamate, distilled water and L-Taurine</w:t>
      </w:r>
      <w:r>
        <w:rPr>
          <w:bCs/>
          <w:b/>
        </w:rPr>
        <w:t xml:space="preserve"> </w:t>
      </w:r>
      <w:r>
        <w:rPr>
          <w:bCs/>
          <w:b/>
        </w:rPr>
        <w:t xml:space="preserve">showed a significant effect (lesions / aberrations) to the</w:t>
      </w:r>
      <w:r>
        <w:rPr>
          <w:bCs/>
          <w:b/>
        </w:rPr>
        <w:t xml:space="preserve"> </w:t>
      </w:r>
      <w:r>
        <w:rPr>
          <w:bCs/>
          <w:b/>
        </w:rPr>
        <w:t xml:space="preserve">cytoarchitecture of liver and kidney [R]</w:t>
      </w:r>
      <w:r>
        <w:t xml:space="preserve">. However, heart did not</w:t>
      </w:r>
      <w:r>
        <w:t xml:space="preserve"> </w:t>
      </w:r>
      <w:r>
        <w:t xml:space="preserve">show any significant effect (lesion / aberration) to its</w:t>
      </w:r>
      <w:r>
        <w:t xml:space="preserve"> </w:t>
      </w:r>
      <w:r>
        <w:t xml:space="preserve">cytoarchitecture. Interestingly, all histopathological observation under</w:t>
      </w:r>
      <w:r>
        <w:t xml:space="preserve"> </w:t>
      </w:r>
      <w:r>
        <w:t xml:space="preserve">the combined treatments of Z. talanai and L-Taurine, Z. talanai and</w:t>
      </w:r>
      <w:r>
        <w:t xml:space="preserve"> </w:t>
      </w:r>
      <w:r>
        <w:t xml:space="preserve">monosodium glutamate showed a significant reduction of lesions /</w:t>
      </w:r>
      <w:r>
        <w:t xml:space="preserve"> </w:t>
      </w:r>
      <w:r>
        <w:t xml:space="preserve">aberrations score to the liver and kidney compare to the pure</w:t>
      </w:r>
      <w:r>
        <w:t xml:space="preserve"> </w:t>
      </w:r>
      <w:r>
        <w:t xml:space="preserve">treatments. However, the heart didn’t respond or show any significant</w:t>
      </w:r>
      <w:r>
        <w:t xml:space="preserve"> </w:t>
      </w:r>
      <w:r>
        <w:t xml:space="preserve">changes regardless of the treatment. Based on the results of this study,</w:t>
      </w:r>
      <w:r>
        <w:t xml:space="preserve"> </w:t>
      </w:r>
      <w:r>
        <w:rPr>
          <w:bCs/>
          <w:b/>
        </w:rPr>
        <w:t xml:space="preserve">pure MSG and pure ethanolic leaf extract of Z. talanai caused the</w:t>
      </w:r>
      <w:r>
        <w:rPr>
          <w:bCs/>
          <w:b/>
        </w:rPr>
        <w:t xml:space="preserve"> </w:t>
      </w:r>
      <w:r>
        <w:rPr>
          <w:bCs/>
          <w:b/>
        </w:rPr>
        <w:t xml:space="preserve">lesions / aberrations to the liver and kidney [C]</w:t>
      </w:r>
      <w:r>
        <w:t xml:space="preserve">. However,</w:t>
      </w:r>
      <w:r>
        <w:t xml:space="preserve"> </w:t>
      </w:r>
      <w:r>
        <w:t xml:space="preserve">treatments with combination of MSG and pure ethanolic leaf extract of Z.</w:t>
      </w:r>
      <w:r>
        <w:t xml:space="preserve"> </w:t>
      </w:r>
      <w:r>
        <w:t xml:space="preserve">talanai extract results for reduction of lesions / aberrations to the</w:t>
      </w:r>
      <w:r>
        <w:t xml:space="preserve"> </w:t>
      </w:r>
      <w:r>
        <w:t xml:space="preserve">organ cytoarchitecture. Lesions / Aberrations that were observed under</w:t>
      </w:r>
      <w:r>
        <w:t xml:space="preserve"> </w:t>
      </w:r>
      <w:r>
        <w:t xml:space="preserve">the microscope are cell degeneration, glomerular atrophy and glomerular</w:t>
      </w:r>
      <w:r>
        <w:t xml:space="preserve"> </w:t>
      </w:r>
      <w:r>
        <w:t xml:space="preserve">hypertrophy.</w:t>
      </w:r>
    </w:p>
    <w:p>
      <w:pPr>
        <w:pStyle w:val="BodyText"/>
      </w:pPr>
      <w:r>
        <w:rPr>
          <w:bCs/>
          <w:b/>
        </w:rPr>
        <w:t xml:space="preserve">B10 · 302 words · 1 hedges · 0.33 per 100 words</w:t>
      </w:r>
    </w:p>
    <w:p>
      <w:pPr>
        <w:pStyle w:val="BodyText"/>
      </w:pPr>
      <w:r>
        <w:t xml:space="preserve">It is well recognized that heavy metals harm human health through the</w:t>
      </w:r>
      <w:r>
        <w:t xml:space="preserve"> </w:t>
      </w:r>
      <w:r>
        <w:t xml:space="preserve">food chain. The danger to human health associated with consuming fish</w:t>
      </w:r>
      <w:r>
        <w:t xml:space="preserve"> </w:t>
      </w:r>
      <w:r>
        <w:t xml:space="preserve">contaminated with heavy metals were assessed. This study aimed to</w:t>
      </w:r>
      <w:r>
        <w:t xml:space="preserve"> </w:t>
      </w:r>
      <w:r>
        <w:t xml:space="preserve">determine the presence of lead in the flesh part of selected fish</w:t>
      </w:r>
      <w:r>
        <w:t xml:space="preserve"> </w:t>
      </w:r>
      <w:r>
        <w:t xml:space="preserve">species, Common carp (Cyprinus carpio), Roho labeo (Labeo rohita), and</w:t>
      </w:r>
      <w:r>
        <w:t xml:space="preserve"> </w:t>
      </w:r>
      <w:r>
        <w:t xml:space="preserve">Silver carp (Hypophthalmichthys molitrix), in addition to determine the</w:t>
      </w:r>
      <w:r>
        <w:t xml:space="preserve"> </w:t>
      </w:r>
      <w:r>
        <w:t xml:space="preserve">Knowledge, Attitude, and Practices (KAP) of fishers along the Pampanga</w:t>
      </w:r>
      <w:r>
        <w:t xml:space="preserve"> </w:t>
      </w:r>
      <w:r>
        <w:t xml:space="preserve">River. A test method used is Inductively Coupled Plasma — Optical</w:t>
      </w:r>
      <w:r>
        <w:t xml:space="preserve"> </w:t>
      </w:r>
      <w:r>
        <w:t xml:space="preserve">Emission Spectrometry (ICP-OES) in identifying heavy metals in biota.</w:t>
      </w:r>
      <w:r>
        <w:t xml:space="preserve"> </w:t>
      </w:r>
      <w:r>
        <w:t xml:space="preserve">The self-administered questionnaires were distributed to 20 respondents,</w:t>
      </w:r>
      <w:r>
        <w:t xml:space="preserve"> </w:t>
      </w:r>
      <w:r>
        <w:t xml:space="preserve">questionnaires compromised of socio-demographic characteristics and the</w:t>
      </w:r>
      <w:r>
        <w:t xml:space="preserve"> </w:t>
      </w:r>
      <w:r>
        <w:t xml:space="preserve">KAP’s of fishers along the Pampanga River. Data analyses were done using</w:t>
      </w:r>
      <w:r>
        <w:t xml:space="preserve"> </w:t>
      </w:r>
      <w:r>
        <w:t xml:space="preserve">SPSS (version 23). Data were explored using descriptive statistics. The</w:t>
      </w:r>
      <w:r>
        <w:t xml:space="preserve"> </w:t>
      </w:r>
      <w:r>
        <w:t xml:space="preserve">results show that lead in any of the selected fish, with a &lt;0.013 mg/kg</w:t>
      </w:r>
      <w:r>
        <w:t xml:space="preserve"> </w:t>
      </w:r>
      <w:r>
        <w:t xml:space="preserve">result is below the FAO and WHO’s allowed limits of 2 mg/kg and 0.5</w:t>
      </w:r>
      <w:r>
        <w:t xml:space="preserve"> </w:t>
      </w:r>
      <w:r>
        <w:t xml:space="preserve">mg/kg, respectively. Based on the result from KAP Analysis, knowledge</w:t>
      </w:r>
      <w:r>
        <w:t xml:space="preserve"> </w:t>
      </w:r>
      <w:r>
        <w:t xml:space="preserve">scored M=1.7200 with SD equivalent to 0.10052 which is interpreted as</w:t>
      </w:r>
      <w:r>
        <w:t xml:space="preserve"> </w:t>
      </w:r>
      <w:r>
        <w:t xml:space="preserve">poor knowledge. The attitude score M=3.1150 and SD=0.093330 which means</w:t>
      </w:r>
      <w:r>
        <w:t xml:space="preserve"> </w:t>
      </w:r>
      <w:r>
        <w:t xml:space="preserve">a moderate attitude and lastly, practices score M = 2.8850 and SD =</w:t>
      </w:r>
      <w:r>
        <w:t xml:space="preserve"> </w:t>
      </w:r>
      <w:r>
        <w:t xml:space="preserve">.13485 which is equivalent to have good practices. Thus, the researcher</w:t>
      </w:r>
      <w:r>
        <w:t xml:space="preserve"> </w:t>
      </w:r>
      <w:r>
        <w:t xml:space="preserve">provided a policy proposal to focus on issues that needed to be</w:t>
      </w:r>
      <w:r>
        <w:t xml:space="preserve"> </w:t>
      </w:r>
      <w:r>
        <w:t xml:space="preserve">addressed in the community. In terms of practices, proper waste</w:t>
      </w:r>
      <w:r>
        <w:t xml:space="preserve"> </w:t>
      </w:r>
      <w:r>
        <w:t xml:space="preserve">management</w:t>
      </w:r>
      <w:r>
        <w:t xml:space="preserve"> </w:t>
      </w:r>
      <w:r>
        <w:rPr>
          <w:strike/>
          <w:bCs/>
          <w:b/>
        </w:rPr>
        <w:t xml:space="preserve">should</w:t>
      </w:r>
      <w:r>
        <w:t xml:space="preserve"> </w:t>
      </w:r>
      <w:r>
        <w:t xml:space="preserve">(FP-Rec) be established to avoid the high</w:t>
      </w:r>
      <w:r>
        <w:t xml:space="preserve"> </w:t>
      </w:r>
      <w:r>
        <w:t xml:space="preserve">danger of heavy metal contamination. Certain local habits, such as waste</w:t>
      </w:r>
      <w:r>
        <w:t xml:space="preserve"> </w:t>
      </w:r>
      <w:r>
        <w:t xml:space="preserve">dumping and other communal activities,</w:t>
      </w:r>
      <w:r>
        <w:t xml:space="preserve"> </w:t>
      </w:r>
      <w:r>
        <w:rPr>
          <w:bCs/>
          <w:b/>
        </w:rPr>
        <w:t xml:space="preserve">may (EC)</w:t>
      </w:r>
      <w:r>
        <w:t xml:space="preserve"> </w:t>
      </w:r>
      <w:r>
        <w:t xml:space="preserve">contribute to the</w:t>
      </w:r>
      <w:r>
        <w:t xml:space="preserve"> </w:t>
      </w:r>
      <w:r>
        <w:t xml:space="preserve">spread of heavy metals. As a result, some community or local</w:t>
      </w:r>
      <w:r>
        <w:t xml:space="preserve"> </w:t>
      </w:r>
      <w:r>
        <w:t xml:space="preserve">government-adopted measures are</w:t>
      </w:r>
      <w:r>
        <w:t xml:space="preserve"> </w:t>
      </w:r>
      <w:r>
        <w:rPr>
          <w:strike/>
          <w:bCs/>
          <w:b/>
        </w:rPr>
        <w:t xml:space="preserve">proposed</w:t>
      </w:r>
      <w:r>
        <w:t xml:space="preserve"> </w:t>
      </w:r>
      <w:r>
        <w:t xml:space="preserve">(FP-Gen). These</w:t>
      </w:r>
      <w:r>
        <w:t xml:space="preserve"> </w:t>
      </w:r>
      <w:r>
        <w:t xml:space="preserve">precautions are intended to prevent heavy metal contamination,</w:t>
      </w:r>
      <w:r>
        <w:t xml:space="preserve"> </w:t>
      </w:r>
      <w:r>
        <w:t xml:space="preserve">particularly in the river system and the aquatic life in the area.</w:t>
      </w:r>
    </w:p>
    <w:p>
      <w:pPr>
        <w:pStyle w:val="BodyText"/>
      </w:pPr>
      <w:r>
        <w:rPr>
          <w:bCs/>
          <w:b/>
        </w:rPr>
        <w:t xml:space="preserve">B11 · 256 words · 0 hedges · 0.0 per 100 words</w:t>
      </w:r>
    </w:p>
    <w:p>
      <w:pPr>
        <w:pStyle w:val="BodyText"/>
      </w:pPr>
      <w:r>
        <w:t xml:space="preserve">Currently, Central Luzon together with Calabarzon are regions that hold</w:t>
      </w:r>
      <w:r>
        <w:t xml:space="preserve"> </w:t>
      </w:r>
      <w:r>
        <w:t xml:space="preserve">a pivotal position in the Philippines’ fishing industry. However, due to</w:t>
      </w:r>
      <w:r>
        <w:t xml:space="preserve"> </w:t>
      </w:r>
      <w:r>
        <w:t xml:space="preserve">their adjacency to Manila Bay, which is highly polluted due to</w:t>
      </w:r>
      <w:r>
        <w:t xml:space="preserve"> </w:t>
      </w:r>
      <w:r>
        <w:t xml:space="preserve">anthropogenic activities, these regions become vulnerable to bacterial</w:t>
      </w:r>
      <w:r>
        <w:t xml:space="preserve"> </w:t>
      </w:r>
      <w:r>
        <w:t xml:space="preserve">infestation. Mycobacteriosis is a significant concern in cultivated</w:t>
      </w:r>
      <w:r>
        <w:t xml:space="preserve"> </w:t>
      </w:r>
      <w:r>
        <w:t xml:space="preserve">milkfish, impacting both fish health and aquaculture productivity is</w:t>
      </w:r>
      <w:r>
        <w:t xml:space="preserve"> </w:t>
      </w:r>
      <w:r>
        <w:t xml:space="preserve">reported in Nueva Ecija and in parts of Central Luzon. Hence, this study</w:t>
      </w:r>
      <w:r>
        <w:t xml:space="preserve"> </w:t>
      </w:r>
      <w:r>
        <w:t xml:space="preserve">aimed to investigate the presence of</w:t>
      </w:r>
      <w:r>
        <w:t xml:space="preserve"> </w:t>
      </w:r>
      <w:r>
        <w:rPr>
          <w:strike/>
          <w:bCs/>
          <w:b/>
        </w:rPr>
        <w:t xml:space="preserve">potential</w:t>
      </w:r>
      <w:r>
        <w:t xml:space="preserve"> </w:t>
      </w:r>
      <w:r>
        <w:t xml:space="preserve">(FP-Gen)</w:t>
      </w:r>
      <w:r>
        <w:t xml:space="preserve"> </w:t>
      </w:r>
      <w:r>
        <w:t xml:space="preserve">mycobacterial infections in cultivated milkfish collected from</w:t>
      </w:r>
      <w:r>
        <w:t xml:space="preserve"> </w:t>
      </w:r>
      <w:r>
        <w:t xml:space="preserve">fish-supplying areas of Pampanga. Using the Ziehl-Neelsen stain for</w:t>
      </w:r>
      <w:r>
        <w:t xml:space="preserve"> </w:t>
      </w:r>
      <w:r>
        <w:t xml:space="preserve">acid-fast bacteria detection, along with biochemical testing methods</w:t>
      </w:r>
      <w:r>
        <w:t xml:space="preserve"> </w:t>
      </w:r>
      <w:r>
        <w:t xml:space="preserve">such as the catalase test and assessing growth in the presence of the</w:t>
      </w:r>
      <w:r>
        <w:t xml:space="preserve"> </w:t>
      </w:r>
      <w:r>
        <w:t xml:space="preserve">Salt Tolerance Test,</w:t>
      </w:r>
      <w:r>
        <w:t xml:space="preserve"> </w:t>
      </w:r>
      <w:r>
        <w:rPr>
          <w:bCs/>
          <w:b/>
        </w:rPr>
        <w:t xml:space="preserve">revealed the presence of acid-fast bacteria in</w:t>
      </w:r>
      <w:r>
        <w:rPr>
          <w:bCs/>
          <w:b/>
        </w:rPr>
        <w:t xml:space="preserve"> </w:t>
      </w:r>
      <w:r>
        <w:rPr>
          <w:bCs/>
          <w:b/>
        </w:rPr>
        <w:t xml:space="preserve">the tissues of infected milkfish, confirming the occurrence of</w:t>
      </w:r>
      <w:r>
        <w:rPr>
          <w:bCs/>
          <w:b/>
        </w:rPr>
        <w:t xml:space="preserve"> </w:t>
      </w:r>
      <w:r>
        <w:rPr>
          <w:bCs/>
          <w:b/>
        </w:rPr>
        <w:t xml:space="preserve">mycobacteriosis infection [R]</w:t>
      </w:r>
      <w:r>
        <w:t xml:space="preserve">. Additionally, biochemical testing,</w:t>
      </w:r>
      <w:r>
        <w:t xml:space="preserve"> </w:t>
      </w:r>
      <w:r>
        <w:t xml:space="preserve">specifically the catalase test, was utilized to identify the catalase</w:t>
      </w:r>
      <w:r>
        <w:t xml:space="preserve"> </w:t>
      </w:r>
      <w:r>
        <w:t xml:space="preserve">enzyme activity characteristic of mycobacteria, catalase test positive</w:t>
      </w:r>
      <w:r>
        <w:t xml:space="preserve"> </w:t>
      </w:r>
      <w:r>
        <w:t xml:space="preserve">shows the result of the formation of bubbles. Furthermore, the growth of</w:t>
      </w:r>
      <w:r>
        <w:t xml:space="preserve"> </w:t>
      </w:r>
      <w:r>
        <w:t xml:space="preserve">mycobacteria in the presence of the Salt Tolerance Test was assessed,</w:t>
      </w:r>
      <w:r>
        <w:t xml:space="preserve"> </w:t>
      </w:r>
      <w:r>
        <w:t xml:space="preserve">showing the ability of these bacteria to thrive in high-salt</w:t>
      </w:r>
      <w:r>
        <w:t xml:space="preserve"> </w:t>
      </w:r>
      <w:r>
        <w:t xml:space="preserve">environments, which is crucial information for understanding their</w:t>
      </w:r>
      <w:r>
        <w:t xml:space="preserve"> </w:t>
      </w:r>
      <w:r>
        <w:t xml:space="preserve">survival and spread in aquaculture settings. Overall,</w:t>
      </w:r>
      <w:r>
        <w:t xml:space="preserve"> </w:t>
      </w:r>
      <w:r>
        <w:rPr>
          <w:bCs/>
          <w:b/>
        </w:rPr>
        <w:t xml:space="preserve">the combination</w:t>
      </w:r>
      <w:r>
        <w:rPr>
          <w:bCs/>
          <w:b/>
        </w:rPr>
        <w:t xml:space="preserve"> </w:t>
      </w:r>
      <w:r>
        <w:rPr>
          <w:bCs/>
          <w:b/>
        </w:rPr>
        <w:t xml:space="preserve">of Ziehl-Neelsen staining, biochemical testing like the catalase test,</w:t>
      </w:r>
      <w:r>
        <w:rPr>
          <w:bCs/>
          <w:b/>
        </w:rPr>
        <w:t xml:space="preserve"> </w:t>
      </w:r>
      <w:r>
        <w:rPr>
          <w:bCs/>
          <w:b/>
        </w:rPr>
        <w:t xml:space="preserve">and evaluating growth in the presence of the Salt Tolerance Test</w:t>
      </w:r>
      <w:r>
        <w:rPr>
          <w:bCs/>
          <w:b/>
        </w:rPr>
        <w:t xml:space="preserve"> </w:t>
      </w:r>
      <w:r>
        <w:rPr>
          <w:bCs/>
          <w:b/>
        </w:rPr>
        <w:t xml:space="preserve">provides a comprehensive approach for diagnosing and studying</w:t>
      </w:r>
      <w:r>
        <w:rPr>
          <w:bCs/>
          <w:b/>
        </w:rPr>
        <w:t xml:space="preserve"> </w:t>
      </w:r>
      <w:r>
        <w:rPr>
          <w:bCs/>
          <w:b/>
        </w:rPr>
        <w:t xml:space="preserve">mycobacteriosis in cultivated milkfish [G]</w:t>
      </w:r>
      <w:r>
        <w:t xml:space="preserve">, offering insights that</w:t>
      </w:r>
      <w:r>
        <w:t xml:space="preserve"> </w:t>
      </w:r>
      <w:r>
        <w:rPr>
          <w:strike/>
          <w:bCs/>
          <w:b/>
        </w:rPr>
        <w:t xml:space="preserve">can</w:t>
      </w:r>
      <w:r>
        <w:t xml:space="preserve"> </w:t>
      </w:r>
      <w:r>
        <w:t xml:space="preserve">(FP-Cap) guide effective management strategies to control</w:t>
      </w:r>
      <w:r>
        <w:t xml:space="preserve"> </w:t>
      </w:r>
      <w:r>
        <w:t xml:space="preserve">the spread of this disease in aquaculture system.</w:t>
      </w:r>
    </w:p>
    <w:p>
      <w:pPr>
        <w:pStyle w:val="BodyText"/>
      </w:pPr>
      <w:r>
        <w:rPr>
          <w:bCs/>
          <w:b/>
        </w:rPr>
        <w:t xml:space="preserve">B12 · 149 words · 0 hedges · 0.0 per 100 words</w:t>
      </w:r>
    </w:p>
    <w:p>
      <w:pPr>
        <w:pStyle w:val="BodyText"/>
      </w:pPr>
      <w:r>
        <w:t xml:space="preserve">Antimicrobial resistance is a major threat to public health worldwide,</w:t>
      </w:r>
      <w:r>
        <w:t xml:space="preserve"> </w:t>
      </w:r>
      <w:r>
        <w:t xml:space="preserve">making infections difficult to treat. This problem calls for developing</w:t>
      </w:r>
      <w:r>
        <w:t xml:space="preserve"> </w:t>
      </w:r>
      <w:r>
        <w:t xml:space="preserve">novel and alternative strategies to attenuate microorganisms without</w:t>
      </w:r>
      <w:r>
        <w:t xml:space="preserve"> </w:t>
      </w:r>
      <w:r>
        <w:t xml:space="preserve">inducing resistance. Hence, lactic acid bacteria (LAB) have emerged as a</w:t>
      </w:r>
      <w:r>
        <w:t xml:space="preserve"> </w:t>
      </w:r>
      <w:r>
        <w:t xml:space="preserve">focal point due to their</w:t>
      </w:r>
      <w:r>
        <w:t xml:space="preserve"> </w:t>
      </w:r>
      <w:r>
        <w:rPr>
          <w:strike/>
          <w:bCs/>
          <w:b/>
        </w:rPr>
        <w:t xml:space="preserve">potential</w:t>
      </w:r>
      <w:r>
        <w:t xml:space="preserve"> </w:t>
      </w:r>
      <w:r>
        <w:t xml:space="preserve">(FP-Gen) quorum quenching</w:t>
      </w:r>
      <w:r>
        <w:t xml:space="preserve"> </w:t>
      </w:r>
      <w:r>
        <w:t xml:space="preserve">(QQ) activities. In this study, lactic acid bacteria were obtained from</w:t>
      </w:r>
      <w:r>
        <w:t xml:space="preserve"> </w:t>
      </w:r>
      <w:r>
        <w:t xml:space="preserve">a parallel study, and the antimicrobial activity of the top 10 isolates</w:t>
      </w:r>
      <w:r>
        <w:t xml:space="preserve"> </w:t>
      </w:r>
      <w:r>
        <w:t xml:space="preserve">was evaluated through spectrophotometric and turbidimetric analyses for</w:t>
      </w:r>
      <w:r>
        <w:t xml:space="preserve"> </w:t>
      </w:r>
      <w:r>
        <w:t xml:space="preserve">the initial screening of gut isolates.</w:t>
      </w:r>
      <w:r>
        <w:t xml:space="preserve"> </w:t>
      </w:r>
      <w:r>
        <w:rPr>
          <w:bCs/>
          <w:b/>
        </w:rPr>
        <w:t xml:space="preserve">Nine out of ten isolates</w:t>
      </w:r>
      <w:r>
        <w:rPr>
          <w:bCs/>
          <w:b/>
        </w:rPr>
        <w:t xml:space="preserve"> </w:t>
      </w:r>
      <w:r>
        <w:rPr>
          <w:bCs/>
          <w:b/>
        </w:rPr>
        <w:t xml:space="preserve">exhibit quorum quenching activities by inhibiting the swarming motility</w:t>
      </w:r>
      <w:r>
        <w:rPr>
          <w:bCs/>
          <w:b/>
        </w:rPr>
        <w:t xml:space="preserve"> </w:t>
      </w:r>
      <w:r>
        <w:rPr>
          <w:bCs/>
          <w:b/>
        </w:rPr>
        <w:t xml:space="preserve">of Pseudomonas aeruginosa [R]</w:t>
      </w:r>
      <w:r>
        <w:t xml:space="preserve">. The metabolic compounds of the</w:t>
      </w:r>
      <w:r>
        <w:t xml:space="preserve"> </w:t>
      </w:r>
      <w:r>
        <w:t xml:space="preserve">isolates were subjected to initial characterization using enzyme and pH</w:t>
      </w:r>
      <w:r>
        <w:t xml:space="preserve"> </w:t>
      </w:r>
      <w:r>
        <w:t xml:space="preserve">neutralization, which revealed that organic acids were responsible for</w:t>
      </w:r>
      <w:r>
        <w:t xml:space="preserve"> </w:t>
      </w:r>
      <w:r>
        <w:t xml:space="preserve">the inhibitory activity.</w:t>
      </w:r>
      <w:r>
        <w:t xml:space="preserve"> </w:t>
      </w:r>
      <w:r>
        <w:rPr>
          <w:bCs/>
          <w:b/>
        </w:rPr>
        <w:t xml:space="preserve">The inhibition activity of LAB isolates</w:t>
      </w:r>
      <w:r>
        <w:rPr>
          <w:bCs/>
          <w:b/>
        </w:rPr>
        <w:t xml:space="preserve"> </w:t>
      </w:r>
      <w:r>
        <w:rPr>
          <w:bCs/>
          <w:b/>
        </w:rPr>
        <w:t xml:space="preserve">against the quorum sensing-mediated swarming motility in P. aeruginosa</w:t>
      </w:r>
      <w:r>
        <w:rPr>
          <w:bCs/>
          <w:b/>
        </w:rPr>
        <w:t xml:space="preserve"> </w:t>
      </w:r>
      <w:r>
        <w:rPr>
          <w:bCs/>
          <w:b/>
        </w:rPr>
        <w:t xml:space="preserve">was due to strong antibacterial activity [R]</w:t>
      </w:r>
      <w:r>
        <w:t xml:space="preserve">.</w:t>
      </w:r>
    </w:p>
    <w:p>
      <w:pPr>
        <w:pStyle w:val="BodyText"/>
      </w:pPr>
      <w:r>
        <w:rPr>
          <w:bCs/>
          <w:b/>
        </w:rPr>
        <w:t xml:space="preserve">B13 · 148 words · 0 hedges · 0.0 per 100 words</w:t>
      </w:r>
    </w:p>
    <w:p>
      <w:pPr>
        <w:pStyle w:val="BodyText"/>
      </w:pPr>
      <w:r>
        <w:t xml:space="preserve">Adenium obesum, also called Bangkok Kalachuchi, is a succulent shrub,</w:t>
      </w:r>
      <w:r>
        <w:t xml:space="preserve"> </w:t>
      </w:r>
      <w:r>
        <w:t xml:space="preserve">and a member of the Apocynaceae family, one of the most abundant sources</w:t>
      </w:r>
      <w:r>
        <w:t xml:space="preserve"> </w:t>
      </w:r>
      <w:r>
        <w:t xml:space="preserve">of phytochemicals, including alkaloids, steroids, saponins, glycosides,</w:t>
      </w:r>
      <w:r>
        <w:t xml:space="preserve"> </w:t>
      </w:r>
      <w:r>
        <w:t xml:space="preserve">anthraquinones, tannins, and flavonoids, and has a lot of promise for</w:t>
      </w:r>
      <w:r>
        <w:t xml:space="preserve"> </w:t>
      </w:r>
      <w:r>
        <w:t xml:space="preserve">use in pharmaceutical and horticultural products. In this study, the</w:t>
      </w:r>
      <w:r>
        <w:t xml:space="preserve"> </w:t>
      </w:r>
      <w:r>
        <w:t xml:space="preserve">researcher investigated the antibacterial property of Bangkok Kalachuchi</w:t>
      </w:r>
      <w:r>
        <w:t xml:space="preserve"> </w:t>
      </w:r>
      <w:r>
        <w:t xml:space="preserve">(Adenium obesum) ethanolic leaf extract against standard tester strains</w:t>
      </w:r>
      <w:r>
        <w:t xml:space="preserve"> </w:t>
      </w:r>
      <w:r>
        <w:t xml:space="preserve">of Staphylococcus aureus (ATCC 25923) and Escherichia coli (ATCC 25922)</w:t>
      </w:r>
      <w:r>
        <w:t xml:space="preserve"> </w:t>
      </w:r>
      <w:r>
        <w:t xml:space="preserve">using disc diffusion method. The result of this study showed that</w:t>
      </w:r>
      <w:r>
        <w:t xml:space="preserve"> </w:t>
      </w:r>
      <w:r>
        <w:t xml:space="preserve">Adenium obesum ethanolic leaf extract has antibacterial property against</w:t>
      </w:r>
      <w:r>
        <w:t xml:space="preserve"> </w:t>
      </w:r>
      <w:r>
        <w:t xml:space="preserve">Staphylococcus aureus (ATCC 25923) at 1,000 µg/disc and 10,000 µg/disc</w:t>
      </w:r>
      <w:r>
        <w:t xml:space="preserve"> </w:t>
      </w:r>
      <w:r>
        <w:t xml:space="preserve">concentrations and none against Escherichia coli (25922). Results also</w:t>
      </w:r>
      <w:r>
        <w:t xml:space="preserve"> </w:t>
      </w:r>
      <w:r>
        <w:t xml:space="preserve">showed that the antibacterial property of Bangkok Kalachuchi (Adenium</w:t>
      </w:r>
      <w:r>
        <w:t xml:space="preserve"> </w:t>
      </w:r>
      <w:r>
        <w:t xml:space="preserve">obesum) against Staphylococcus aureus (ATCC 25923) are significantly</w:t>
      </w:r>
      <w:r>
        <w:t xml:space="preserve"> </w:t>
      </w:r>
      <w:r>
        <w:t xml:space="preserve">different at various concentration</w:t>
      </w:r>
      <w:r>
        <w:t xml:space="preserve"> </w:t>
      </w:r>
      <w:r>
        <w:rPr>
          <w:strike/>
          <w:bCs/>
          <w:b/>
        </w:rPr>
        <w:t xml:space="preserve">indicating</w:t>
      </w:r>
      <w:r>
        <w:t xml:space="preserve"> </w:t>
      </w:r>
      <w:r>
        <w:t xml:space="preserve">(FP-Gen) that its</w:t>
      </w:r>
      <w:r>
        <w:t xml:space="preserve"> </w:t>
      </w:r>
      <w:r>
        <w:t xml:space="preserve">antibacterial property is dose dependent.</w:t>
      </w:r>
    </w:p>
    <w:p>
      <w:pPr>
        <w:pStyle w:val="BodyText"/>
      </w:pPr>
      <w:r>
        <w:rPr>
          <w:bCs/>
          <w:b/>
        </w:rPr>
        <w:t xml:space="preserve">B14 · 242 words · 3 hedges · 1.24 per 100 words</w:t>
      </w:r>
    </w:p>
    <w:p>
      <w:pPr>
        <w:pStyle w:val="BodyText"/>
      </w:pPr>
      <w:r>
        <w:t xml:space="preserve">The emergence of infectious diseases driven by pathogenic microbes</w:t>
      </w:r>
      <w:r>
        <w:t xml:space="preserve"> </w:t>
      </w:r>
      <w:r>
        <w:t xml:space="preserve">prompted the need for the discovery of more effective and affordable</w:t>
      </w:r>
      <w:r>
        <w:t xml:space="preserve"> </w:t>
      </w:r>
      <w:r>
        <w:t xml:space="preserve">medicines. In finding alternative agents that helps combat microbial</w:t>
      </w:r>
      <w:r>
        <w:t xml:space="preserve"> </w:t>
      </w:r>
      <w:r>
        <w:t xml:space="preserve">diseases, studies revealed that several plants possess pharmaceutical</w:t>
      </w:r>
      <w:r>
        <w:t xml:space="preserve"> </w:t>
      </w:r>
      <w:r>
        <w:t xml:space="preserve">activities. Paragis (Eleusine indica L.) is a difficult weed in turf</w:t>
      </w:r>
      <w:r>
        <w:t xml:space="preserve"> </w:t>
      </w:r>
      <w:r>
        <w:t xml:space="preserve">grass systems of the Poaceae family cultivated throughout the world. The</w:t>
      </w:r>
      <w:r>
        <w:t xml:space="preserve"> </w:t>
      </w:r>
      <w:r>
        <w:t xml:space="preserve">information collected reveals that the medicinal attributes of paragis</w:t>
      </w:r>
      <w:r>
        <w:t xml:space="preserve"> </w:t>
      </w:r>
      <w:r>
        <w:t xml:space="preserve">have been utilized for many reasons. Investigations have shown that</w:t>
      </w:r>
      <w:r>
        <w:t xml:space="preserve"> </w:t>
      </w:r>
      <w:r>
        <w:t xml:space="preserve">paragis contains bioactive components known to possess antimicrobial</w:t>
      </w:r>
      <w:r>
        <w:t xml:space="preserve"> </w:t>
      </w:r>
      <w:r>
        <w:t xml:space="preserve">activity. The present study conducted an experiment to determine the</w:t>
      </w:r>
      <w:r>
        <w:t xml:space="preserve"> </w:t>
      </w:r>
      <w:r>
        <w:t xml:space="preserve">antifungal</w:t>
      </w:r>
      <w:r>
        <w:t xml:space="preserve"> </w:t>
      </w:r>
      <w:r>
        <w:rPr>
          <w:strike/>
          <w:bCs/>
          <w:b/>
        </w:rPr>
        <w:t xml:space="preserve">potential</w:t>
      </w:r>
      <w:r>
        <w:t xml:space="preserve"> </w:t>
      </w:r>
      <w:r>
        <w:t xml:space="preserve">(FP-Gen) of paragis leaf extracts against</w:t>
      </w:r>
      <w:r>
        <w:t xml:space="preserve"> </w:t>
      </w:r>
      <w:r>
        <w:t xml:space="preserve">Colletotrichum species. This study made use of agar block method in</w:t>
      </w:r>
      <w:r>
        <w:t xml:space="preserve"> </w:t>
      </w:r>
      <w:r>
        <w:t xml:space="preserve">isolation of the test organism in the prepared Potato Dextrose Agar</w:t>
      </w:r>
      <w:r>
        <w:t xml:space="preserve"> </w:t>
      </w:r>
      <w:r>
        <w:t xml:space="preserve">media. Paper disc diffusion assay was done using crude ethanolic leaf</w:t>
      </w:r>
      <w:r>
        <w:t xml:space="preserve"> </w:t>
      </w:r>
      <w:r>
        <w:t xml:space="preserve">extract in different concentrations and extraction techniques, Kupchan</w:t>
      </w:r>
      <w:r>
        <w:t xml:space="preserve"> </w:t>
      </w:r>
      <w:r>
        <w:t xml:space="preserve">Partitioning Method (Polar, Semi-polar, Non-polar fractions), and</w:t>
      </w:r>
      <w:r>
        <w:t xml:space="preserve"> </w:t>
      </w:r>
      <w:r>
        <w:t xml:space="preserve">ethanolic crude in boiled, and not boiled treatments in determining its</w:t>
      </w:r>
      <w:r>
        <w:t xml:space="preserve"> </w:t>
      </w:r>
      <w:r>
        <w:t xml:space="preserve">antifungal</w:t>
      </w:r>
      <w:r>
        <w:t xml:space="preserve"> </w:t>
      </w:r>
      <w:r>
        <w:rPr>
          <w:strike/>
          <w:bCs/>
          <w:b/>
        </w:rPr>
        <w:t xml:space="preserve">potential</w:t>
      </w:r>
      <w:r>
        <w:t xml:space="preserve"> </w:t>
      </w:r>
      <w:r>
        <w:t xml:space="preserve">(FP-Gen). All experiments were performed in</w:t>
      </w:r>
      <w:r>
        <w:t xml:space="preserve"> </w:t>
      </w:r>
      <w:r>
        <w:t xml:space="preserve">triplicate and were presented as mean + SD. Statistical analysis</w:t>
      </w:r>
      <w:r>
        <w:t xml:space="preserve"> </w:t>
      </w:r>
      <w:r>
        <w:t xml:space="preserve">performed using One-way, Univariate ANOVA, and Tukey’s HSD Multiple</w:t>
      </w:r>
      <w:r>
        <w:t xml:space="preserve"> </w:t>
      </w:r>
      <w:r>
        <w:t xml:space="preserve">Comparison Test. The findings of this study showed and</w:t>
      </w:r>
      <w:r>
        <w:t xml:space="preserve"> </w:t>
      </w:r>
      <w:r>
        <w:rPr>
          <w:bCs/>
          <w:b/>
        </w:rPr>
        <w:t xml:space="preserve">suggests (EC)</w:t>
      </w:r>
      <w:r>
        <w:t xml:space="preserve"> </w:t>
      </w:r>
      <w:r>
        <w:t xml:space="preserve">that the extraction efficiency favors the highly polar solvents than the</w:t>
      </w:r>
      <w:r>
        <w:t xml:space="preserve"> </w:t>
      </w:r>
      <w:r>
        <w:t xml:space="preserve">non-polar solvents in determining the antifungal</w:t>
      </w:r>
      <w:r>
        <w:t xml:space="preserve"> </w:t>
      </w:r>
      <w:r>
        <w:rPr>
          <w:strike/>
          <w:bCs/>
          <w:b/>
        </w:rPr>
        <w:t xml:space="preserve">potential</w:t>
      </w:r>
      <w:r>
        <w:t xml:space="preserve"> </w:t>
      </w:r>
      <w:r>
        <w:t xml:space="preserve">(FP-Gen) of E. indica against Colletotrichum spp.. The findings of this</w:t>
      </w:r>
      <w:r>
        <w:t xml:space="preserve"> </w:t>
      </w:r>
      <w:r>
        <w:t xml:space="preserve">study attested that this specific type of grass</w:t>
      </w:r>
      <w:r>
        <w:t xml:space="preserve"> </w:t>
      </w:r>
      <w:r>
        <w:rPr>
          <w:bCs/>
          <w:b/>
        </w:rPr>
        <w:t xml:space="preserve">could (EC)</w:t>
      </w:r>
      <w:r>
        <w:t xml:space="preserve"> </w:t>
      </w:r>
      <w:r>
        <w:rPr>
          <w:bCs/>
          <w:b/>
        </w:rPr>
        <w:t xml:space="preserve">potentially (EC)</w:t>
      </w:r>
      <w:r>
        <w:t xml:space="preserve"> </w:t>
      </w:r>
      <w:r>
        <w:t xml:space="preserve">be used as biofungicide agent.</w:t>
      </w:r>
    </w:p>
    <w:p>
      <w:pPr>
        <w:pStyle w:val="BodyText"/>
      </w:pPr>
      <w:r>
        <w:rPr>
          <w:bCs/>
          <w:b/>
        </w:rPr>
        <w:t xml:space="preserve">B15 · 131 words · 0 hedges · 0.0 per 100 words</w:t>
      </w:r>
    </w:p>
    <w:p>
      <w:pPr>
        <w:pStyle w:val="BodyText"/>
      </w:pPr>
      <w:r>
        <w:t xml:space="preserve">The study investigates bamboo-aloe vera composite plates as eco-friendly</w:t>
      </w:r>
      <w:r>
        <w:t xml:space="preserve"> </w:t>
      </w:r>
      <w:r>
        <w:t xml:space="preserve">alternatives to non-biodegradable materials like styrofoam and silver</w:t>
      </w:r>
      <w:r>
        <w:t xml:space="preserve"> </w:t>
      </w:r>
      <w:r>
        <w:t xml:space="preserve">foil paper plates. Researchers conducted experiments on plates made from</w:t>
      </w:r>
      <w:r>
        <w:t xml:space="preserve"> </w:t>
      </w:r>
      <w:r>
        <w:t xml:space="preserve">bamboo leaves with and without aloe vera coating, assessing properties</w:t>
      </w:r>
      <w:r>
        <w:t xml:space="preserve"> </w:t>
      </w:r>
      <w:r>
        <w:t xml:space="preserve">like biodegradability, tensile strength, water uptake, and melting</w:t>
      </w:r>
      <w:r>
        <w:t xml:space="preserve"> </w:t>
      </w:r>
      <w:r>
        <w:t xml:space="preserve">temperature. The biodegradable plate developed exhibited the following</w:t>
      </w:r>
      <w:r>
        <w:t xml:space="preserve"> </w:t>
      </w:r>
      <w:r>
        <w:t xml:space="preserve">properties: Bamboo fiber plates (T1) and bamboo fiber plates coated with</w:t>
      </w:r>
      <w:r>
        <w:t xml:space="preserve"> </w:t>
      </w:r>
      <w:r>
        <w:t xml:space="preserve">aloe vera (T2) degrade faster than styrofoam and silver foil plates;</w:t>
      </w:r>
      <w:r>
        <w:t xml:space="preserve"> </w:t>
      </w:r>
      <w:r>
        <w:t xml:space="preserve">Bamboo fiber plates coated with aloe vera (T2) showcased the highest</w:t>
      </w:r>
      <w:r>
        <w:t xml:space="preserve"> </w:t>
      </w:r>
      <w:r>
        <w:t xml:space="preserve">tensile strength compared to other treatments Bamboo fiber plates (T1)</w:t>
      </w:r>
      <w:r>
        <w:t xml:space="preserve"> </w:t>
      </w:r>
      <w:r>
        <w:t xml:space="preserve">and bamboo fiber plates coated with aloe vera (T2) uptake more water</w:t>
      </w:r>
      <w:r>
        <w:t xml:space="preserve"> </w:t>
      </w:r>
      <w:r>
        <w:t xml:space="preserve">than styrofoam and silver foil paper plates; The significant differences</w:t>
      </w:r>
      <w:r>
        <w:t xml:space="preserve"> </w:t>
      </w:r>
      <w:r>
        <w:t xml:space="preserve">in melting temperature</w:t>
      </w:r>
      <w:r>
        <w:t xml:space="preserve"> </w:t>
      </w:r>
      <w:r>
        <w:rPr>
          <w:strike/>
          <w:bCs/>
          <w:b/>
        </w:rPr>
        <w:t xml:space="preserve">indicate</w:t>
      </w:r>
      <w:r>
        <w:t xml:space="preserve"> </w:t>
      </w:r>
      <w:r>
        <w:t xml:space="preserve">(FP-Gen) variations in thermal</w:t>
      </w:r>
      <w:r>
        <w:t xml:space="preserve"> </w:t>
      </w:r>
      <w:r>
        <w:t xml:space="preserve">stability among the different plate materials.</w:t>
      </w:r>
    </w:p>
    <w:p>
      <w:pPr>
        <w:pStyle w:val="BodyText"/>
      </w:pPr>
      <w:r>
        <w:rPr>
          <w:bCs/>
          <w:b/>
        </w:rPr>
        <w:t xml:space="preserve">B16 · 223 words · 4 hedges · 1.79 per 100 words</w:t>
      </w:r>
    </w:p>
    <w:p>
      <w:pPr>
        <w:pStyle w:val="BodyText"/>
      </w:pPr>
      <w:r>
        <w:t xml:space="preserve">Methicillin-resistant Staphylococcus aureus (MRSA) is a common and</w:t>
      </w:r>
      <w:r>
        <w:t xml:space="preserve"> </w:t>
      </w:r>
      <w:r>
        <w:rPr>
          <w:bCs/>
          <w:b/>
        </w:rPr>
        <w:t xml:space="preserve">potentially (EC)</w:t>
      </w:r>
      <w:r>
        <w:t xml:space="preserve"> </w:t>
      </w:r>
      <w:r>
        <w:t xml:space="preserve">severe pathogen that has developed resistance to</w:t>
      </w:r>
      <w:r>
        <w:t xml:space="preserve"> </w:t>
      </w:r>
      <w:r>
        <w:t xml:space="preserve">several types of antibiotics. MRSA bacteria</w:t>
      </w:r>
      <w:r>
        <w:t xml:space="preserve"> </w:t>
      </w:r>
      <w:r>
        <w:rPr>
          <w:strike/>
          <w:bCs/>
          <w:b/>
        </w:rPr>
        <w:t xml:space="preserve">can</w:t>
      </w:r>
      <w:r>
        <w:t xml:space="preserve"> </w:t>
      </w:r>
      <w:r>
        <w:t xml:space="preserve">(FP-Cap) survive</w:t>
      </w:r>
      <w:r>
        <w:t xml:space="preserve"> </w:t>
      </w:r>
      <w:r>
        <w:t xml:space="preserve">long on surfaces and objects, including second-hand clothing (SHC). The</w:t>
      </w:r>
      <w:r>
        <w:t xml:space="preserve"> </w:t>
      </w:r>
      <w:r>
        <w:t xml:space="preserve">increasing popularity of SHC or</w:t>
      </w:r>
      <w:r>
        <w:t xml:space="preserve"> </w:t>
      </w:r>
      <w:r>
        <w:t xml:space="preserve">“</w:t>
      </w:r>
      <w:r>
        <w:t xml:space="preserve">ukay-ukay</w:t>
      </w:r>
      <w:r>
        <w:t xml:space="preserve">”</w:t>
      </w:r>
      <w:r>
        <w:t xml:space="preserve"> </w:t>
      </w:r>
      <w:r>
        <w:t xml:space="preserve">in the Philippines, coupled</w:t>
      </w:r>
      <w:r>
        <w:t xml:space="preserve"> </w:t>
      </w:r>
      <w:r>
        <w:t xml:space="preserve">with</w:t>
      </w:r>
      <w:r>
        <w:t xml:space="preserve"> </w:t>
      </w:r>
      <w:r>
        <w:rPr>
          <w:strike/>
          <w:bCs/>
          <w:b/>
        </w:rPr>
        <w:t xml:space="preserve">potential</w:t>
      </w:r>
      <w:r>
        <w:t xml:space="preserve"> </w:t>
      </w:r>
      <w:r>
        <w:t xml:space="preserve">(FP-Gen) public health concerns associated with</w:t>
      </w:r>
      <w:r>
        <w:t xml:space="preserve"> </w:t>
      </w:r>
      <w:r>
        <w:t xml:space="preserve">transmitting pathogenic bacteria, emphasized this research’s need. Thus,</w:t>
      </w:r>
      <w:r>
        <w:t xml:space="preserve"> </w:t>
      </w:r>
      <w:r>
        <w:t xml:space="preserve">this study detected the presence of S. aureus and MRSA in second-hand</w:t>
      </w:r>
      <w:r>
        <w:t xml:space="preserve"> </w:t>
      </w:r>
      <w:r>
        <w:t xml:space="preserve">clothing. A total of fifteen most frequently purchased second-hand</w:t>
      </w:r>
      <w:r>
        <w:t xml:space="preserve"> </w:t>
      </w:r>
      <w:r>
        <w:t xml:space="preserve">clothing (i.e., blouses, tee shirts, crop tops, tank tops, and hoodie</w:t>
      </w:r>
      <w:r>
        <w:t xml:space="preserve"> </w:t>
      </w:r>
      <w:r>
        <w:t xml:space="preserve">jackets) were collected from three selected stalls in Sta. Cruz,</w:t>
      </w:r>
      <w:r>
        <w:t xml:space="preserve"> </w:t>
      </w:r>
      <w:r>
        <w:t xml:space="preserve">Magalang, Pampanga. Bacteriological analyses demonstrated the presence</w:t>
      </w:r>
      <w:r>
        <w:t xml:space="preserve"> </w:t>
      </w:r>
      <w:r>
        <w:t xml:space="preserve">of Staphylococcus species across all samples, with growth in</w:t>
      </w:r>
      <w:r>
        <w:t xml:space="preserve"> </w:t>
      </w:r>
      <w:r>
        <w:t xml:space="preserve">high-salt-containing culture broth and characteristic growth on Mannitol</w:t>
      </w:r>
      <w:r>
        <w:t xml:space="preserve"> </w:t>
      </w:r>
      <w:r>
        <w:t xml:space="preserve">Salt Agar (MSA). Biochemical tests revealed positive catalase and</w:t>
      </w:r>
      <w:r>
        <w:t xml:space="preserve"> </w:t>
      </w:r>
      <w:r>
        <w:t xml:space="preserve">Gram-positive cocci in clusters typical of S. aureus. Antibiotic</w:t>
      </w:r>
      <w:r>
        <w:t xml:space="preserve"> </w:t>
      </w:r>
      <w:r>
        <w:t xml:space="preserve">susceptibility testing indicated the presence of both</w:t>
      </w:r>
      <w:r>
        <w:t xml:space="preserve"> </w:t>
      </w:r>
      <w:r>
        <w:t xml:space="preserve">methicillin-sensitive S. aureus (MSSA) and methicillin-resistant S.</w:t>
      </w:r>
      <w:r>
        <w:t xml:space="preserve"> </w:t>
      </w:r>
      <w:r>
        <w:t xml:space="preserve">aureus (MRSA) strains among the collected samples, highlighting the</w:t>
      </w:r>
      <w:r>
        <w:t xml:space="preserve"> </w:t>
      </w:r>
      <w:r>
        <w:rPr>
          <w:bCs/>
          <w:b/>
        </w:rPr>
        <w:t xml:space="preserve">potential (EC)</w:t>
      </w:r>
      <w:r>
        <w:t xml:space="preserve"> </w:t>
      </w:r>
      <w:r>
        <w:t xml:space="preserve">public health risks associated with the handling and</w:t>
      </w:r>
      <w:r>
        <w:t xml:space="preserve"> </w:t>
      </w:r>
      <w:r>
        <w:t xml:space="preserve">purchasing of second-hand clothing. This study, therefore, underscores</w:t>
      </w:r>
      <w:r>
        <w:t xml:space="preserve"> </w:t>
      </w:r>
      <w:r>
        <w:t xml:space="preserve">the need for proper precautions to mitigate the spread of</w:t>
      </w:r>
      <w:r>
        <w:t xml:space="preserve"> </w:t>
      </w:r>
      <w:r>
        <w:rPr>
          <w:bCs/>
          <w:b/>
        </w:rPr>
        <w:t xml:space="preserve">potentially</w:t>
      </w:r>
      <w:r>
        <w:rPr>
          <w:bCs/>
          <w:b/>
        </w:rPr>
        <w:t xml:space="preserve"> </w:t>
      </w:r>
      <w:r>
        <w:rPr>
          <w:bCs/>
          <w:b/>
        </w:rPr>
        <w:t xml:space="preserve">(EC)</w:t>
      </w:r>
      <w:r>
        <w:t xml:space="preserve"> </w:t>
      </w:r>
      <w:r>
        <w:t xml:space="preserve">harmful bacteria, including MRSA, on second-hand clothing. It</w:t>
      </w:r>
      <w:r>
        <w:t xml:space="preserve"> </w:t>
      </w:r>
      <w:r>
        <w:t xml:space="preserve">highlights the importance of raising awareness among both vendors and</w:t>
      </w:r>
      <w:r>
        <w:t xml:space="preserve"> </w:t>
      </w:r>
      <w:r>
        <w:t xml:space="preserve">consumers about the</w:t>
      </w:r>
      <w:r>
        <w:t xml:space="preserve"> </w:t>
      </w:r>
      <w:r>
        <w:rPr>
          <w:bCs/>
          <w:b/>
        </w:rPr>
        <w:t xml:space="preserve">potential (EC)</w:t>
      </w:r>
      <w:r>
        <w:t xml:space="preserve"> </w:t>
      </w:r>
      <w:r>
        <w:t xml:space="preserve">health risks associated with</w:t>
      </w:r>
      <w:r>
        <w:t xml:space="preserve"> </w:t>
      </w:r>
      <w:r>
        <w:t xml:space="preserve">these garments.</w:t>
      </w:r>
    </w:p>
    <w:p>
      <w:pPr>
        <w:pStyle w:val="BodyText"/>
      </w:pPr>
      <w:r>
        <w:rPr>
          <w:bCs/>
          <w:b/>
        </w:rPr>
        <w:t xml:space="preserve">B17 · 243 words · 2 hedges · 0.82 per 100 words</w:t>
      </w:r>
    </w:p>
    <w:p>
      <w:pPr>
        <w:pStyle w:val="BodyText"/>
      </w:pPr>
      <w:r>
        <w:t xml:space="preserve">The increasing prevalence of antibiotic resistance among bacterial</w:t>
      </w:r>
      <w:r>
        <w:t xml:space="preserve"> </w:t>
      </w:r>
      <w:r>
        <w:t xml:space="preserve">pathogens, particularly Staphylococcus aureus and Escherichia coli,</w:t>
      </w:r>
      <w:r>
        <w:t xml:space="preserve"> </w:t>
      </w:r>
      <w:r>
        <w:t xml:space="preserve">necessitates the search for alternative antimicrobial agents. Medicinal</w:t>
      </w:r>
      <w:r>
        <w:t xml:space="preserve"> </w:t>
      </w:r>
      <w:r>
        <w:t xml:space="preserve">plants have been widely explored for their bioactive compounds with</w:t>
      </w:r>
      <w:r>
        <w:t xml:space="preserve"> </w:t>
      </w:r>
      <w:r>
        <w:t xml:space="preserve">antibacterial and antioxidant properties. However, there is a paucity of</w:t>
      </w:r>
      <w:r>
        <w:t xml:space="preserve"> </w:t>
      </w:r>
      <w:r>
        <w:t xml:space="preserve">research on the phytochemical composition and biological activities of</w:t>
      </w:r>
      <w:r>
        <w:t xml:space="preserve"> </w:t>
      </w:r>
      <w:r>
        <w:t xml:space="preserve">Ptychosperma propinquum (Macarthur Palm) fruit. This study aimed to</w:t>
      </w:r>
      <w:r>
        <w:t xml:space="preserve"> </w:t>
      </w:r>
      <w:r>
        <w:t xml:space="preserve">assess the phytochemical composition, antioxidant</w:t>
      </w:r>
      <w:r>
        <w:t xml:space="preserve"> </w:t>
      </w:r>
      <w:r>
        <w:rPr>
          <w:strike/>
          <w:bCs/>
          <w:b/>
        </w:rPr>
        <w:t xml:space="preserve">potential</w:t>
      </w:r>
      <w:r>
        <w:t xml:space="preserve"> </w:t>
      </w:r>
      <w:r>
        <w:t xml:space="preserve">(FP-Gen), and antibacterial activity of P. propinquum fruit ethanolic</w:t>
      </w:r>
      <w:r>
        <w:t xml:space="preserve"> </w:t>
      </w:r>
      <w:r>
        <w:t xml:space="preserve">extract using Thin Layer Chromatography (TLC)-based techniques. The</w:t>
      </w:r>
      <w:r>
        <w:t xml:space="preserve"> </w:t>
      </w:r>
      <w:r>
        <w:t xml:space="preserve">fruit extract was subjected to TLC phytochemical screening using various</w:t>
      </w:r>
      <w:r>
        <w:t xml:space="preserve"> </w:t>
      </w:r>
      <w:r>
        <w:t xml:space="preserve">spray reagents to detect alkaloids, glycosidic flavonoids, steroids,</w:t>
      </w:r>
      <w:r>
        <w:t xml:space="preserve"> </w:t>
      </w:r>
      <w:r>
        <w:t xml:space="preserve">anthraquinones, anthrones, coumarins, higher alcohols, essential oils,</w:t>
      </w:r>
      <w:r>
        <w:t xml:space="preserve"> </w:t>
      </w:r>
      <w:r>
        <w:t xml:space="preserve">phenols, tannins, and flavonoids. Antioxidant activity was evaluated</w:t>
      </w:r>
      <w:r>
        <w:t xml:space="preserve"> </w:t>
      </w:r>
      <w:r>
        <w:t xml:space="preserve">using the TLC-DPPH (2,2-diphenyl-1-picrylhydrazyl) assay, while</w:t>
      </w:r>
      <w:r>
        <w:t xml:space="preserve"> </w:t>
      </w:r>
      <w:r>
        <w:t xml:space="preserve">antibacterial activity was assessed using the TLC-MTT</w:t>
      </w:r>
      <w:r>
        <w:t xml:space="preserve"> </w:t>
      </w:r>
      <w:r>
        <w:t xml:space="preserve">((3-(4,5-dimethylthiazol-2-yl)-2,5-diphenyltetrazolium bromide) overlay</w:t>
      </w:r>
      <w:r>
        <w:t xml:space="preserve"> </w:t>
      </w:r>
      <w:r>
        <w:t xml:space="preserve">assay against S. aureus (ATCC 25923) and E. coli (ATCC 25922). Results</w:t>
      </w:r>
      <w:r>
        <w:t xml:space="preserve"> </w:t>
      </w:r>
      <w:r>
        <w:t xml:space="preserve">revealed the presence of phenolic compounds, flavonoids, steroids, and</w:t>
      </w:r>
      <w:r>
        <w:t xml:space="preserve"> </w:t>
      </w:r>
      <w:r>
        <w:t xml:space="preserve">alkaloids in the fruit extract. The TLC-DPPH assay demonstrated notable</w:t>
      </w:r>
      <w:r>
        <w:t xml:space="preserve"> </w:t>
      </w:r>
      <w:r>
        <w:t xml:space="preserve">antioxidant activity, as</w:t>
      </w:r>
      <w:r>
        <w:t xml:space="preserve"> </w:t>
      </w:r>
      <w:r>
        <w:rPr>
          <w:strike/>
          <w:bCs/>
          <w:b/>
        </w:rPr>
        <w:t xml:space="preserve">indicated</w:t>
      </w:r>
      <w:r>
        <w:t xml:space="preserve"> </w:t>
      </w:r>
      <w:r>
        <w:t xml:space="preserve">(FP-Gen) by the reduction of</w:t>
      </w:r>
      <w:r>
        <w:t xml:space="preserve"> </w:t>
      </w:r>
      <w:r>
        <w:t xml:space="preserve">DPPH radicals. The TLC-MTT overlay assay showed that the extract</w:t>
      </w:r>
      <w:r>
        <w:t xml:space="preserve"> </w:t>
      </w:r>
      <w:r>
        <w:t xml:space="preserve">exhibits antibacterial activity against S. aureus but was ineffective</w:t>
      </w:r>
      <w:r>
        <w:t xml:space="preserve"> </w:t>
      </w:r>
      <w:r>
        <w:t xml:space="preserve">against E. coli,</w:t>
      </w:r>
      <w:r>
        <w:t xml:space="preserve"> </w:t>
      </w:r>
      <w:r>
        <w:rPr>
          <w:bCs/>
          <w:b/>
        </w:rPr>
        <w:t xml:space="preserve">suggesting (EC)</w:t>
      </w:r>
      <w:r>
        <w:t xml:space="preserve"> </w:t>
      </w:r>
      <w:r>
        <w:t xml:space="preserve">selective antibacterial</w:t>
      </w:r>
      <w:r>
        <w:t xml:space="preserve"> </w:t>
      </w:r>
      <w:r>
        <w:rPr>
          <w:bCs/>
          <w:b/>
        </w:rPr>
        <w:t xml:space="preserve">potential</w:t>
      </w:r>
      <w:r>
        <w:rPr>
          <w:bCs/>
          <w:b/>
        </w:rPr>
        <w:t xml:space="preserve"> </w:t>
      </w:r>
      <w:r>
        <w:rPr>
          <w:bCs/>
          <w:b/>
        </w:rPr>
        <w:t xml:space="preserve">(EC)</w:t>
      </w:r>
      <w:r>
        <w:t xml:space="preserve">. The findings indicate that P. propinquum fruit ethanolic extract</w:t>
      </w:r>
      <w:r>
        <w:t xml:space="preserve"> </w:t>
      </w:r>
      <w:r>
        <w:t xml:space="preserve">contains bioactive compounds with antioxidant and selective</w:t>
      </w:r>
      <w:r>
        <w:t xml:space="preserve"> </w:t>
      </w:r>
      <w:r>
        <w:t xml:space="preserve">antibacterial properties. Further studies</w:t>
      </w:r>
      <w:r>
        <w:t xml:space="preserve"> </w:t>
      </w:r>
      <w:r>
        <w:rPr>
          <w:strike/>
          <w:bCs/>
          <w:b/>
        </w:rPr>
        <w:t xml:space="preserve">should</w:t>
      </w:r>
      <w:r>
        <w:t xml:space="preserve"> </w:t>
      </w:r>
      <w:r>
        <w:t xml:space="preserve">(FP-Rec) focus</w:t>
      </w:r>
      <w:r>
        <w:t xml:space="preserve"> </w:t>
      </w:r>
      <w:r>
        <w:t xml:space="preserve">on the isolation and characterization of its active compounds, their</w:t>
      </w:r>
      <w:r>
        <w:t xml:space="preserve"> </w:t>
      </w:r>
      <w:r>
        <w:t xml:space="preserve">mechanisms of action, and their</w:t>
      </w:r>
      <w:r>
        <w:t xml:space="preserve"> </w:t>
      </w:r>
      <w:r>
        <w:rPr>
          <w:strike/>
          <w:bCs/>
          <w:b/>
        </w:rPr>
        <w:t xml:space="preserve">potential</w:t>
      </w:r>
      <w:r>
        <w:t xml:space="preserve"> </w:t>
      </w:r>
      <w:r>
        <w:t xml:space="preserve">(FP-Gen)</w:t>
      </w:r>
      <w:r>
        <w:t xml:space="preserve"> </w:t>
      </w:r>
      <w:r>
        <w:t xml:space="preserve">pharmaceutical applications.</w:t>
      </w:r>
    </w:p>
    <w:p>
      <w:pPr>
        <w:pStyle w:val="BodyText"/>
      </w:pPr>
      <w:r>
        <w:rPr>
          <w:bCs/>
          <w:b/>
        </w:rPr>
        <w:t xml:space="preserve">B18 · 286 words · 1 hedges · 0.35 per 100 words</w:t>
      </w:r>
    </w:p>
    <w:p>
      <w:pPr>
        <w:pStyle w:val="BodyText"/>
      </w:pPr>
      <w:r>
        <w:t xml:space="preserve">This study investigates mercury detection in water and green mussels and</w:t>
      </w:r>
      <w:r>
        <w:t xml:space="preserve"> </w:t>
      </w:r>
      <w:r>
        <w:t xml:space="preserve">oysters in Abucay, Bataan, and its economic effects on local fishers.</w:t>
      </w:r>
      <w:r>
        <w:t xml:space="preserve"> </w:t>
      </w:r>
      <w:r>
        <w:t xml:space="preserve">The research evaluates water quality by analyzing chemicals</w:t>
      </w:r>
      <w:r>
        <w:t xml:space="preserve"> </w:t>
      </w:r>
      <w:r>
        <w:t xml:space="preserve">characteristics in water such as pH, Biological Oxygen Demand (BOD), and</w:t>
      </w:r>
      <w:r>
        <w:t xml:space="preserve"> </w:t>
      </w:r>
      <w:r>
        <w:t xml:space="preserve">Chemical Oxygen Demand (COD) at upstream, midstream, and downstream</w:t>
      </w:r>
      <w:r>
        <w:t xml:space="preserve"> </w:t>
      </w:r>
      <w:r>
        <w:t xml:space="preserve">locations. Findings revealed that mercury levels in water were in the</w:t>
      </w:r>
      <w:r>
        <w:t xml:space="preserve"> </w:t>
      </w:r>
      <w:r>
        <w:t xml:space="preserve">result from physio- chemical analysis of water revealed pH levels of 7.2</w:t>
      </w:r>
      <w:r>
        <w:t xml:space="preserve"> </w:t>
      </w:r>
      <w:r>
        <w:t xml:space="preserve">upstream and midstream and 7.1 downstream, all within the acceptable</w:t>
      </w:r>
      <w:r>
        <w:t xml:space="preserve"> </w:t>
      </w:r>
      <w:r>
        <w:t xml:space="preserve">range of 6.5 – 8.5 set by DENR. BOD was consistently 2 mg/L across all</w:t>
      </w:r>
      <w:r>
        <w:t xml:space="preserve"> </w:t>
      </w:r>
      <w:r>
        <w:t xml:space="preserve">sites COD was recorded at 4.0mg/L upstream and midstream but increased</w:t>
      </w:r>
      <w:r>
        <w:t xml:space="preserve"> </w:t>
      </w:r>
      <w:r>
        <w:t xml:space="preserve">to 7.1 mg/L downstream. However, the mercury detection in water from</w:t>
      </w:r>
      <w:r>
        <w:t xml:space="preserve"> </w:t>
      </w:r>
      <w:r>
        <w:t xml:space="preserve">upstream to downstream is &lt;0.0001 mg/L which below the DENR regulatory</w:t>
      </w:r>
      <w:r>
        <w:t xml:space="preserve"> </w:t>
      </w:r>
      <w:r>
        <w:t xml:space="preserve">limit of 0.0002 mg/L, and mercury in shellfish were in the result is not</w:t>
      </w:r>
      <w:r>
        <w:t xml:space="preserve"> </w:t>
      </w:r>
      <w:r>
        <w:t xml:space="preserve">detected or</w:t>
      </w:r>
      <w:r>
        <w:t xml:space="preserve"> </w:t>
      </w:r>
      <w:r>
        <w:t xml:space="preserve">“</w:t>
      </w:r>
      <w:r>
        <w:t xml:space="preserve">ND</w:t>
      </w:r>
      <w:r>
        <w:t xml:space="preserve">”</w:t>
      </w:r>
      <w:r>
        <w:t xml:space="preserve"> </w:t>
      </w:r>
      <w:r>
        <w:t xml:space="preserve">staying within the FAO safety threshold of 0.5 mg/kg.</w:t>
      </w:r>
      <w:r>
        <w:t xml:space="preserve"> </w:t>
      </w:r>
      <w:r>
        <w:t xml:space="preserve">These results confirm that seafood from the study area remains safe for</w:t>
      </w:r>
      <w:r>
        <w:t xml:space="preserve"> </w:t>
      </w:r>
      <w:r>
        <w:t xml:space="preserve">consumption. However, despite the absence of contamination, economic</w:t>
      </w:r>
      <w:r>
        <w:t xml:space="preserve"> </w:t>
      </w:r>
      <w:r>
        <w:t xml:space="preserve">challenges persist. In the p-value in the analysis of economic impact is</w:t>
      </w:r>
      <w:r>
        <w:t xml:space="preserve"> </w:t>
      </w:r>
      <w:r>
        <w:t xml:space="preserve">0.064 and p-value of fishing practices is 0.069 are slightly above 0.05,</w:t>
      </w:r>
      <w:r>
        <w:t xml:space="preserve"> </w:t>
      </w:r>
      <w:r>
        <w:t xml:space="preserve">the result</w:t>
      </w:r>
      <w:r>
        <w:t xml:space="preserve"> </w:t>
      </w:r>
      <w:r>
        <w:rPr>
          <w:bCs/>
          <w:b/>
        </w:rPr>
        <w:t xml:space="preserve">suggests (EC)</w:t>
      </w:r>
      <w:r>
        <w:t xml:space="preserve"> </w:t>
      </w:r>
      <w:r>
        <w:t xml:space="preserve">that there is no strong statistical</w:t>
      </w:r>
      <w:r>
        <w:t xml:space="preserve"> </w:t>
      </w:r>
      <w:r>
        <w:t xml:space="preserve">evidence that heavy metal contamination alone is significantly affecting</w:t>
      </w:r>
      <w:r>
        <w:t xml:space="preserve"> </w:t>
      </w:r>
      <w:r>
        <w:t xml:space="preserve">fishers’ income and practices. The study highlights the need for</w:t>
      </w:r>
      <w:r>
        <w:t xml:space="preserve"> </w:t>
      </w:r>
      <w:r>
        <w:t xml:space="preserve">continued water quality monitoring, stricter pollution control measures,</w:t>
      </w:r>
      <w:r>
        <w:t xml:space="preserve"> </w:t>
      </w:r>
      <w:r>
        <w:t xml:space="preserve">and increased institutional support to address economic threats.</w:t>
      </w:r>
      <w:r>
        <w:t xml:space="preserve"> </w:t>
      </w:r>
      <w:r>
        <w:t xml:space="preserve">Strengthening public mindfulness campaigns and applying sustainable</w:t>
      </w:r>
      <w:r>
        <w:t xml:space="preserve"> </w:t>
      </w:r>
      <w:r>
        <w:t xml:space="preserve">fishing practices are also essential to maintaining both seafood safety</w:t>
      </w:r>
      <w:r>
        <w:t xml:space="preserve"> </w:t>
      </w:r>
      <w:r>
        <w:t xml:space="preserve">and the livelihoods of littoral communities. The findings contribute to</w:t>
      </w:r>
      <w:r>
        <w:t xml:space="preserve"> </w:t>
      </w:r>
      <w:r>
        <w:t xml:space="preserve">policy development and environmental operation, assuring a balance</w:t>
      </w:r>
      <w:r>
        <w:t xml:space="preserve"> </w:t>
      </w:r>
      <w:r>
        <w:t xml:space="preserve">between profitable stability and marine ecosystem protection.</w:t>
      </w:r>
    </w:p>
    <w:p>
      <w:pPr>
        <w:pStyle w:val="BodyText"/>
      </w:pPr>
      <w:r>
        <w:rPr>
          <w:bCs/>
          <w:b/>
        </w:rPr>
        <w:t xml:space="preserve">B19 · 290 words · 1 hedges · 0.34 per 100 words</w:t>
      </w:r>
    </w:p>
    <w:p>
      <w:pPr>
        <w:pStyle w:val="BodyText"/>
      </w:pPr>
      <w:r>
        <w:t xml:space="preserve">Wetlands are becoming popular as important tourist destinations due to</w:t>
      </w:r>
      <w:r>
        <w:t xml:space="preserve"> </w:t>
      </w:r>
      <w:r>
        <w:t xml:space="preserve">their unique natural beauty and diverse wildlife. These vital ecosystems</w:t>
      </w:r>
      <w:r>
        <w:t xml:space="preserve"> </w:t>
      </w:r>
      <w:r>
        <w:t xml:space="preserve">are at risk from the unregulated and unsustainable tourist visits that</w:t>
      </w:r>
      <w:r>
        <w:t xml:space="preserve"> </w:t>
      </w:r>
      <w:r>
        <w:t xml:space="preserve">cause detrimental effects on the environment and host communities.</w:t>
      </w:r>
      <w:r>
        <w:t xml:space="preserve"> </w:t>
      </w:r>
      <w:r>
        <w:t xml:space="preserve">Hence, sustainable planning and management approaches</w:t>
      </w:r>
      <w:r>
        <w:t xml:space="preserve"> </w:t>
      </w:r>
      <w:r>
        <w:rPr>
          <w:strike/>
          <w:bCs/>
          <w:b/>
        </w:rPr>
        <w:t xml:space="preserve">should</w:t>
      </w:r>
      <w:r>
        <w:t xml:space="preserve"> </w:t>
      </w:r>
      <w:r>
        <w:t xml:space="preserve">(FP-Rec) be considered. This study used Boullon’s Carrying Capacity</w:t>
      </w:r>
      <w:r>
        <w:t xml:space="preserve"> </w:t>
      </w:r>
      <w:r>
        <w:t xml:space="preserve">Mathematical Model adopted from the Ecosystems Research and Development</w:t>
      </w:r>
      <w:r>
        <w:t xml:space="preserve"> </w:t>
      </w:r>
      <w:r>
        <w:t xml:space="preserve">Bureau for computing the Tourism Carrying Capacity (TCC) of Sasmuan</w:t>
      </w:r>
      <w:r>
        <w:t xml:space="preserve"> </w:t>
      </w:r>
      <w:r>
        <w:t xml:space="preserve">Pampanga Coastal Wetlands. Data on the parameters needed in TCC were</w:t>
      </w:r>
      <w:r>
        <w:t xml:space="preserve"> </w:t>
      </w:r>
      <w:r>
        <w:t xml:space="preserve">collected through Key Informant Interviews, direct observation of the</w:t>
      </w:r>
      <w:r>
        <w:t xml:space="preserve"> </w:t>
      </w:r>
      <w:r>
        <w:t xml:space="preserve">site, and a questionnaire-based survey for the tourism-related</w:t>
      </w:r>
      <w:r>
        <w:t xml:space="preserve"> </w:t>
      </w:r>
      <w:r>
        <w:t xml:space="preserve">preferences and residents’ perceived impact of tourism activities. The</w:t>
      </w:r>
      <w:r>
        <w:t xml:space="preserve"> </w:t>
      </w:r>
      <w:r>
        <w:t xml:space="preserve">Real Carrying Capacity per day was found to be a total of 13 boats and</w:t>
      </w:r>
      <w:r>
        <w:t xml:space="preserve"> </w:t>
      </w:r>
      <w:r>
        <w:t xml:space="preserve">156 visitors for fishing activity on the river stretch of Barangay</w:t>
      </w:r>
      <w:r>
        <w:t xml:space="preserve"> </w:t>
      </w:r>
      <w:r>
        <w:t xml:space="preserve">Batang 2nd, 14 visitors in the Batang 2nd Staging Area, while 420</w:t>
      </w:r>
      <w:r>
        <w:t xml:space="preserve"> </w:t>
      </w:r>
      <w:r>
        <w:t xml:space="preserve">visitors for aquaculture farm fishing I and 317 visitors in aquaculture</w:t>
      </w:r>
      <w:r>
        <w:t xml:space="preserve"> </w:t>
      </w:r>
      <w:r>
        <w:t xml:space="preserve">farm fishing II, while 8 visitors for bangus feeding I and a total of 9</w:t>
      </w:r>
      <w:r>
        <w:t xml:space="preserve"> </w:t>
      </w:r>
      <w:r>
        <w:t xml:space="preserve">visitors for bangus feeding II. Only 5 visitors were allowed for</w:t>
      </w:r>
      <w:r>
        <w:t xml:space="preserve"> </w:t>
      </w:r>
      <w:r>
        <w:t xml:space="preserve">birdwatching and 65 visitors for swimming activity. The results revealed</w:t>
      </w:r>
      <w:r>
        <w:t xml:space="preserve"> </w:t>
      </w:r>
      <w:r>
        <w:t xml:space="preserve">that present visitations in these activities are still below the</w:t>
      </w:r>
      <w:r>
        <w:t xml:space="preserve"> </w:t>
      </w:r>
      <w:r>
        <w:t xml:space="preserve">carrying capacity. For descriptive statistics, three-hundred fifty (350)</w:t>
      </w:r>
      <w:r>
        <w:t xml:space="preserve"> </w:t>
      </w:r>
      <w:r>
        <w:t xml:space="preserve">respondents from five coastal barangays of SPCW were purposively</w:t>
      </w:r>
      <w:r>
        <w:t xml:space="preserve"> </w:t>
      </w:r>
      <w:r>
        <w:t xml:space="preserve">selected. Results showed that respondents perceived tourism activities</w:t>
      </w:r>
      <w:r>
        <w:t xml:space="preserve"> </w:t>
      </w:r>
      <w:r>
        <w:t xml:space="preserve">have a positive impact and equal perceptions in ecological (62.00%),</w:t>
      </w:r>
      <w:r>
        <w:t xml:space="preserve"> </w:t>
      </w:r>
      <w:r>
        <w:t xml:space="preserve">economic (59.71%), social (59.71%), and visitor experiences aspects</w:t>
      </w:r>
      <w:r>
        <w:t xml:space="preserve"> </w:t>
      </w:r>
      <w:r>
        <w:t xml:space="preserve">(50.86%). However, tourism activities in the area are perceived to have</w:t>
      </w:r>
      <w:r>
        <w:t xml:space="preserve"> </w:t>
      </w:r>
      <w:r>
        <w:t xml:space="preserve">a negative impact on SPCW’s local facilities (54.00%). Thus, local</w:t>
      </w:r>
      <w:r>
        <w:t xml:space="preserve"> </w:t>
      </w:r>
      <w:r>
        <w:t xml:space="preserve">government</w:t>
      </w:r>
      <w:r>
        <w:t xml:space="preserve"> </w:t>
      </w:r>
      <w:r>
        <w:rPr>
          <w:strike/>
          <w:bCs/>
          <w:b/>
        </w:rPr>
        <w:t xml:space="preserve">should</w:t>
      </w:r>
      <w:r>
        <w:t xml:space="preserve"> </w:t>
      </w:r>
      <w:r>
        <w:t xml:space="preserve">(FP-Rec) address the</w:t>
      </w:r>
      <w:r>
        <w:t xml:space="preserve"> </w:t>
      </w:r>
      <w:r>
        <w:rPr>
          <w:bCs/>
          <w:b/>
        </w:rPr>
        <w:t xml:space="preserve">possible (EC)</w:t>
      </w:r>
      <w:r>
        <w:t xml:space="preserve"> </w:t>
      </w:r>
      <w:r>
        <w:t xml:space="preserve">negative impacts of tourism activities and manage the carrying capacity</w:t>
      </w:r>
      <w:r>
        <w:t xml:space="preserve"> </w:t>
      </w:r>
      <w:r>
        <w:t xml:space="preserve">for sustainable tourism.</w:t>
      </w:r>
    </w:p>
    <w:p>
      <w:pPr>
        <w:pStyle w:val="BodyText"/>
      </w:pPr>
      <w:r>
        <w:rPr>
          <w:bCs/>
          <w:b/>
        </w:rPr>
        <w:t xml:space="preserve">B20 · 223 words · 1 hedges · 0.45 per 100 words</w:t>
      </w:r>
    </w:p>
    <w:p>
      <w:pPr>
        <w:pStyle w:val="BodyText"/>
      </w:pPr>
      <w:r>
        <w:t xml:space="preserve">Many farmers have been facing many problems towards their crops. One of</w:t>
      </w:r>
      <w:r>
        <w:t xml:space="preserve"> </w:t>
      </w:r>
      <w:r>
        <w:t xml:space="preserve">the common factors affecting the production of eggplant is the</w:t>
      </w:r>
      <w:r>
        <w:t xml:space="preserve"> </w:t>
      </w:r>
      <w:r>
        <w:t xml:space="preserve">pathogenic diseases. The fungal disease commonly found in Eggplant</w:t>
      </w:r>
      <w:r>
        <w:t xml:space="preserve"> </w:t>
      </w:r>
      <w:r>
        <w:t xml:space="preserve">(Solanum melongena) is Cercospora leaf spot, a plant-pathogenic fungus,</w:t>
      </w:r>
      <w:r>
        <w:t xml:space="preserve"> </w:t>
      </w:r>
      <w:r>
        <w:t xml:space="preserve">Cercospora melongenae. Therefore, this study aims to examine the</w:t>
      </w:r>
      <w:r>
        <w:t xml:space="preserve"> </w:t>
      </w:r>
      <w:r>
        <w:rPr>
          <w:strike/>
          <w:bCs/>
          <w:b/>
        </w:rPr>
        <w:t xml:space="preserve">potential</w:t>
      </w:r>
      <w:r>
        <w:t xml:space="preserve"> </w:t>
      </w:r>
      <w:r>
        <w:t xml:space="preserve">(FP-Gen) of Trichoderma harzianum, an endophytic</w:t>
      </w:r>
      <w:r>
        <w:t xml:space="preserve"> </w:t>
      </w:r>
      <w:r>
        <w:t xml:space="preserve">fungus, as a biocontrol agent for Cercospora leaf spot-on eggplants in</w:t>
      </w:r>
      <w:r>
        <w:t xml:space="preserve"> </w:t>
      </w:r>
      <w:r>
        <w:t xml:space="preserve">the Philippines. Cercospora melongenae is a plant-pathogenic fungus that</w:t>
      </w:r>
      <w:r>
        <w:t xml:space="preserve"> </w:t>
      </w:r>
      <w:r>
        <w:t xml:space="preserve">causes significant damage to eggplant crops, and the overuse of chemical</w:t>
      </w:r>
      <w:r>
        <w:t xml:space="preserve"> </w:t>
      </w:r>
      <w:r>
        <w:t xml:space="preserve">pesticides has adverse effects on human health and the environment. As</w:t>
      </w:r>
      <w:r>
        <w:t xml:space="preserve"> </w:t>
      </w:r>
      <w:r>
        <w:t xml:space="preserve">such, using alternative approaches, such as endophytic fungi, has gained</w:t>
      </w:r>
      <w:r>
        <w:t xml:space="preserve"> </w:t>
      </w:r>
      <w:r>
        <w:t xml:space="preserve">attention from researchers. The study used thirty isolated leaf samples,</w:t>
      </w:r>
      <w:r>
        <w:t xml:space="preserve"> </w:t>
      </w:r>
      <w:r>
        <w:t xml:space="preserve">twenty-one subcultures has been done and four different pathogenic fungi</w:t>
      </w:r>
      <w:r>
        <w:t xml:space="preserve"> </w:t>
      </w:r>
      <w:r>
        <w:t xml:space="preserve">were identified. Moreover, there is an antagonistic effect of</w:t>
      </w:r>
      <w:r>
        <w:t xml:space="preserve"> </w:t>
      </w:r>
      <w:r>
        <w:t xml:space="preserve">Trichoderma hazianum against the pathogenic fungi that cause disease in</w:t>
      </w:r>
      <w:r>
        <w:t xml:space="preserve"> </w:t>
      </w:r>
      <w:r>
        <w:t xml:space="preserve">eggplant crops. Hence, the study aimed to investigate the antagonistic</w:t>
      </w:r>
      <w:r>
        <w:t xml:space="preserve"> </w:t>
      </w:r>
      <w:r>
        <w:rPr>
          <w:strike/>
          <w:bCs/>
          <w:b/>
        </w:rPr>
        <w:t xml:space="preserve">potential</w:t>
      </w:r>
      <w:r>
        <w:t xml:space="preserve"> </w:t>
      </w:r>
      <w:r>
        <w:t xml:space="preserve">(FP-Gen) of Trichoderma harzianum among the four</w:t>
      </w:r>
      <w:r>
        <w:t xml:space="preserve"> </w:t>
      </w:r>
      <w:r>
        <w:t xml:space="preserve">isolates. The results</w:t>
      </w:r>
      <w:r>
        <w:t xml:space="preserve"> </w:t>
      </w:r>
      <w:r>
        <w:rPr>
          <w:strike/>
          <w:bCs/>
          <w:b/>
        </w:rPr>
        <w:t xml:space="preserve">indicate</w:t>
      </w:r>
      <w:r>
        <w:t xml:space="preserve"> </w:t>
      </w:r>
      <w:r>
        <w:t xml:space="preserve">(FP-Gen) that the mean effect of</w:t>
      </w:r>
      <w:r>
        <w:t xml:space="preserve"> </w:t>
      </w:r>
      <w:r>
        <w:t xml:space="preserve">Trichoderma harzianum on the test variables varied across the three days</w:t>
      </w:r>
      <w:r>
        <w:t xml:space="preserve"> </w:t>
      </w:r>
      <w:r>
        <w:t xml:space="preserve">of observation. However, there was no significant difference in the</w:t>
      </w:r>
      <w:r>
        <w:t xml:space="preserve"> </w:t>
      </w:r>
      <w:r>
        <w:t xml:space="preserve">effect of Trichoderma harzianum among the test variables on any of the</w:t>
      </w:r>
      <w:r>
        <w:t xml:space="preserve"> </w:t>
      </w:r>
      <w:r>
        <w:t xml:space="preserve">three days,</w:t>
      </w:r>
      <w:r>
        <w:t xml:space="preserve"> </w:t>
      </w:r>
      <w:r>
        <w:rPr>
          <w:bCs/>
          <w:b/>
        </w:rPr>
        <w:t xml:space="preserve">suggesting (EC)</w:t>
      </w:r>
      <w:r>
        <w:t xml:space="preserve"> </w:t>
      </w:r>
      <w:r>
        <w:t xml:space="preserve">that the fungus had a similar impact on</w:t>
      </w:r>
      <w:r>
        <w:t xml:space="preserve"> </w:t>
      </w:r>
      <w:r>
        <w:t xml:space="preserve">the growth of all four test variables.</w:t>
      </w:r>
    </w:p>
    <w:p>
      <w:pPr>
        <w:pStyle w:val="BodyText"/>
      </w:pPr>
      <w:r>
        <w:rPr>
          <w:bCs/>
          <w:b/>
        </w:rPr>
        <w:t xml:space="preserve">Veterinary Medicine (VM1–VM20)</w:t>
      </w:r>
    </w:p>
    <w:p>
      <w:pPr>
        <w:pStyle w:val="BodyText"/>
      </w:pPr>
      <w:r>
        <w:rPr>
          <w:bCs/>
          <w:b/>
        </w:rPr>
        <w:t xml:space="preserve">VM1 · 211 words · 0 hedges · 0.0 per 100 words</w:t>
      </w:r>
    </w:p>
    <w:p>
      <w:pPr>
        <w:pStyle w:val="BodyText"/>
      </w:pPr>
      <w:r>
        <w:t xml:space="preserve">This study was conducted to determine the anesthetic effect of Zoletil®</w:t>
      </w:r>
      <w:r>
        <w:t xml:space="preserve"> </w:t>
      </w:r>
      <w:r>
        <w:t xml:space="preserve">in zebrafish (Danio rerio). A total of 25 zebrafish with similar body</w:t>
      </w:r>
      <w:r>
        <w:t xml:space="preserve"> </w:t>
      </w:r>
      <w:r>
        <w:t xml:space="preserve">sizes were used for three treatments. Treatment 1 was Zoletil®</w:t>
      </w:r>
      <w:r>
        <w:t xml:space="preserve"> </w:t>
      </w:r>
      <w:r>
        <w:t xml:space="preserve">waterbath. The dosage started at 10mg/L and it continued to increase by</w:t>
      </w:r>
      <w:r>
        <w:t xml:space="preserve"> </w:t>
      </w:r>
      <w:r>
        <w:t xml:space="preserve">10mg/L with a maximum of 50 mg/L. Stage 1 of anesthesia was observed in</w:t>
      </w:r>
      <w:r>
        <w:t xml:space="preserve"> </w:t>
      </w:r>
      <w:r>
        <w:t xml:space="preserve">T1, but it did not progress to Stage 2 and Stage 3 of anesthesia.</w:t>
      </w:r>
      <w:r>
        <w:t xml:space="preserve"> </w:t>
      </w:r>
      <w:r>
        <w:t xml:space="preserve">Treatment 2 was waterbath mixed with Sodium bicarbonate. The dosage that</w:t>
      </w:r>
      <w:r>
        <w:t xml:space="preserve"> </w:t>
      </w:r>
      <w:r>
        <w:t xml:space="preserve">was used started at 20 g/L. In dosages 20 g/L and 30 g/L, Stage 1 and</w:t>
      </w:r>
      <w:r>
        <w:t xml:space="preserve"> </w:t>
      </w:r>
      <w:r>
        <w:t xml:space="preserve">Stage 2 anesthesia was observed, but it failed to induce Stage 3.</w:t>
      </w:r>
      <w:r>
        <w:t xml:space="preserve"> </w:t>
      </w:r>
      <w:r>
        <w:t xml:space="preserve">Whereas dosages 40 g/L, 50 g/L, and 60 g/L were able to induce all three</w:t>
      </w:r>
      <w:r>
        <w:t xml:space="preserve"> </w:t>
      </w:r>
      <w:r>
        <w:t xml:space="preserve">stages of anesthesia, Treatment 3 was a combination of Zoletil® and</w:t>
      </w:r>
      <w:r>
        <w:t xml:space="preserve"> </w:t>
      </w:r>
      <w:r>
        <w:t xml:space="preserve">sodium bicarbonate. In dosage of 5 mg/L of Zoletil® and 30 g/L of sodium</w:t>
      </w:r>
      <w:r>
        <w:t xml:space="preserve"> </w:t>
      </w:r>
      <w:r>
        <w:t xml:space="preserve">bicarbonate, Stage 3 was observed.</w:t>
      </w:r>
      <w:r>
        <w:t xml:space="preserve"> </w:t>
      </w:r>
      <w:r>
        <w:rPr>
          <w:bCs/>
          <w:b/>
        </w:rPr>
        <w:t xml:space="preserve">T1 revealed that Zoletil® alone is</w:t>
      </w:r>
      <w:r>
        <w:rPr>
          <w:bCs/>
          <w:b/>
        </w:rPr>
        <w:t xml:space="preserve"> </w:t>
      </w:r>
      <w:r>
        <w:rPr>
          <w:bCs/>
          <w:b/>
        </w:rPr>
        <w:t xml:space="preserve">not enough to fully induce Stage 3 anesthesia in zebrafish [R]</w:t>
      </w:r>
      <w:r>
        <w:t xml:space="preserve">.</w:t>
      </w:r>
      <w:r>
        <w:t xml:space="preserve"> </w:t>
      </w:r>
      <w:r>
        <w:t xml:space="preserve">However,</w:t>
      </w:r>
      <w:r>
        <w:t xml:space="preserve"> </w:t>
      </w:r>
      <w:r>
        <w:rPr>
          <w:bCs/>
          <w:b/>
        </w:rPr>
        <w:t xml:space="preserve">when sodium bicarbonate was added, Stage 3 was achieved,</w:t>
      </w:r>
      <w:r>
        <w:rPr>
          <w:bCs/>
          <w:b/>
        </w:rPr>
        <w:t xml:space="preserve"> </w:t>
      </w:r>
      <w:r>
        <w:rPr>
          <w:bCs/>
          <w:b/>
        </w:rPr>
        <w:t xml:space="preserve">while using only a small amount of Zoletil® [C]</w:t>
      </w:r>
      <w:r>
        <w:t xml:space="preserve">. Additionally, it</w:t>
      </w:r>
      <w:r>
        <w:t xml:space="preserve"> </w:t>
      </w:r>
      <w:r>
        <w:t xml:space="preserve">was also revealed that 40 g/L of sodium bicarbonate was sufficient to</w:t>
      </w:r>
      <w:r>
        <w:t xml:space="preserve"> </w:t>
      </w:r>
      <w:r>
        <w:t xml:space="preserve">induce Stage 3 anesthesia in zebrafish.</w:t>
      </w:r>
    </w:p>
    <w:p>
      <w:pPr>
        <w:pStyle w:val="BodyText"/>
      </w:pPr>
      <w:r>
        <w:rPr>
          <w:bCs/>
          <w:b/>
        </w:rPr>
        <w:t xml:space="preserve">VM2 · 358 words · 3 hedges · 0.84 per 100 words</w:t>
      </w:r>
    </w:p>
    <w:p>
      <w:pPr>
        <w:pStyle w:val="BodyText"/>
      </w:pPr>
      <w:r>
        <w:t xml:space="preserve">This study determined the knowledge, attitude, and practices of PSAU</w:t>
      </w:r>
      <w:r>
        <w:t xml:space="preserve"> </w:t>
      </w:r>
      <w:r>
        <w:t xml:space="preserve">students regarding stray animals. A total of 386 respondents were</w:t>
      </w:r>
      <w:r>
        <w:t xml:space="preserve"> </w:t>
      </w:r>
      <w:r>
        <w:t xml:space="preserve">calculated using Slovin’s formula. The respondents were reached through</w:t>
      </w:r>
      <w:r>
        <w:t xml:space="preserve"> </w:t>
      </w:r>
      <w:r>
        <w:t xml:space="preserve">social media platforms such as facebook, messenger, and through text</w:t>
      </w:r>
      <w:r>
        <w:t xml:space="preserve"> </w:t>
      </w:r>
      <w:r>
        <w:t xml:space="preserve">messages. The data collected was entered into an Excel database and was</w:t>
      </w:r>
      <w:r>
        <w:t xml:space="preserve"> </w:t>
      </w:r>
      <w:r>
        <w:t xml:space="preserve">subjected to a Chi-square test to examine associations with the</w:t>
      </w:r>
      <w:r>
        <w:t xml:space="preserve"> </w:t>
      </w:r>
      <w:r>
        <w:t xml:space="preserve">socio-demographics of the respondents; a p-value of 0.5 was considered</w:t>
      </w:r>
      <w:r>
        <w:t xml:space="preserve"> </w:t>
      </w:r>
      <w:r>
        <w:t xml:space="preserve">significant. Descriptive analysis was done to examine relationships</w:t>
      </w:r>
      <w:r>
        <w:t xml:space="preserve"> </w:t>
      </w:r>
      <w:r>
        <w:t xml:space="preserve">between categorical variables, particularly focusing on the influence of</w:t>
      </w:r>
      <w:r>
        <w:t xml:space="preserve"> </w:t>
      </w:r>
      <w:r>
        <w:t xml:space="preserve">socio-demographic profile differences. The results in overall knowledge</w:t>
      </w:r>
      <w:r>
        <w:t xml:space="preserve"> </w:t>
      </w:r>
      <w:r>
        <w:t xml:space="preserve">of PSAU students regarding stray animals showed that over half (56%) of</w:t>
      </w:r>
      <w:r>
        <w:t xml:space="preserve"> </w:t>
      </w:r>
      <w:r>
        <w:t xml:space="preserve">the students were aware and have moderate knowledge about stray animals,</w:t>
      </w:r>
      <w:r>
        <w:t xml:space="preserve"> </w:t>
      </w:r>
      <w:r>
        <w:t xml:space="preserve">Moreover, 32.6% of the students showed good knowledge regarding stray</w:t>
      </w:r>
      <w:r>
        <w:t xml:space="preserve"> </w:t>
      </w:r>
      <w:r>
        <w:t xml:space="preserve">animals, and only 11.4% of them had poor knowledge regarding stray</w:t>
      </w:r>
      <w:r>
        <w:t xml:space="preserve"> </w:t>
      </w:r>
      <w:r>
        <w:t xml:space="preserve">animals. In terms of attitude, 92% of the respondents showed good</w:t>
      </w:r>
      <w:r>
        <w:t xml:space="preserve"> </w:t>
      </w:r>
      <w:r>
        <w:t xml:space="preserve">attitude,</w:t>
      </w:r>
      <w:r>
        <w:t xml:space="preserve"> </w:t>
      </w:r>
      <w:r>
        <w:rPr>
          <w:bCs/>
          <w:b/>
        </w:rPr>
        <w:t xml:space="preserve">indicating (EC)</w:t>
      </w:r>
      <w:r>
        <w:t xml:space="preserve"> </w:t>
      </w:r>
      <w:r>
        <w:t xml:space="preserve">a strong sense of empathy and concern for</w:t>
      </w:r>
      <w:r>
        <w:t xml:space="preserve"> </w:t>
      </w:r>
      <w:r>
        <w:t xml:space="preserve">the welfare of stray animals on campus. A smaller portion of students,</w:t>
      </w:r>
      <w:r>
        <w:t xml:space="preserve"> </w:t>
      </w:r>
      <w:r>
        <w:t xml:space="preserve">7.3%, expressed a moderate attitude, and only 0.8% of the respondents</w:t>
      </w:r>
      <w:r>
        <w:t xml:space="preserve"> </w:t>
      </w:r>
      <w:r>
        <w:t xml:space="preserve">showed a poor attitude towards stray animals. Among the respondents,</w:t>
      </w:r>
      <w:r>
        <w:t xml:space="preserve"> </w:t>
      </w:r>
      <w:r>
        <w:t xml:space="preserve">only 19.7% showed a good level of practice, and 39.1% of the respondents</w:t>
      </w:r>
      <w:r>
        <w:t xml:space="preserve"> </w:t>
      </w:r>
      <w:r>
        <w:t xml:space="preserve">showed a moderate level of practice and 41.2 % shows poor level of</w:t>
      </w:r>
      <w:r>
        <w:t xml:space="preserve"> </w:t>
      </w:r>
      <w:r>
        <w:t xml:space="preserve">practice. In terms of association of demographic profile with the KAP,</w:t>
      </w:r>
      <w:r>
        <w:t xml:space="preserve"> </w:t>
      </w:r>
      <w:r>
        <w:t xml:space="preserve">the findings showed that sex, year level, and pet ownership had a</w:t>
      </w:r>
      <w:r>
        <w:t xml:space="preserve"> </w:t>
      </w:r>
      <w:r>
        <w:t xml:space="preserve">significant effect on students’ knowledge and practices toward stray</w:t>
      </w:r>
      <w:r>
        <w:t xml:space="preserve"> </w:t>
      </w:r>
      <w:r>
        <w:t xml:space="preserve">animals. A strong relationship was found between sex and knowledge (p =</w:t>
      </w:r>
      <w:r>
        <w:t xml:space="preserve"> </w:t>
      </w:r>
      <w:r>
        <w:t xml:space="preserve">0.000), with female students more</w:t>
      </w:r>
      <w:r>
        <w:t xml:space="preserve"> </w:t>
      </w:r>
      <w:r>
        <w:rPr>
          <w:bCs/>
          <w:b/>
        </w:rPr>
        <w:t xml:space="preserve">likely (EC)</w:t>
      </w:r>
      <w:r>
        <w:t xml:space="preserve"> </w:t>
      </w:r>
      <w:r>
        <w:t xml:space="preserve">to have moderate to</w:t>
      </w:r>
      <w:r>
        <w:t xml:space="preserve"> </w:t>
      </w:r>
      <w:r>
        <w:t xml:space="preserve">good knowledge. Year level also influenced knowledge (p = 0.010), with</w:t>
      </w:r>
      <w:r>
        <w:t xml:space="preserve"> </w:t>
      </w:r>
      <w:r>
        <w:t xml:space="preserve">first-year students showing poor knowledge and higher-year students</w:t>
      </w:r>
      <w:r>
        <w:t xml:space="preserve"> </w:t>
      </w:r>
      <w:r>
        <w:t xml:space="preserve">demonstrating good knowledge. For practices, sex (p = 0.005), year level</w:t>
      </w:r>
      <w:r>
        <w:t xml:space="preserve"> </w:t>
      </w:r>
      <w:r>
        <w:t xml:space="preserve">(p = 0.010), and pet ownership (p = 0.044) all showed significant</w:t>
      </w:r>
      <w:r>
        <w:t xml:space="preserve"> </w:t>
      </w:r>
      <w:r>
        <w:t xml:space="preserve">relationship. Female students, higher-year students, and those who owned</w:t>
      </w:r>
      <w:r>
        <w:t xml:space="preserve"> </w:t>
      </w:r>
      <w:r>
        <w:t xml:space="preserve">pets were more</w:t>
      </w:r>
      <w:r>
        <w:t xml:space="preserve"> </w:t>
      </w:r>
      <w:r>
        <w:rPr>
          <w:bCs/>
          <w:b/>
        </w:rPr>
        <w:t xml:space="preserve">likely (EC)</w:t>
      </w:r>
      <w:r>
        <w:t xml:space="preserve"> </w:t>
      </w:r>
      <w:r>
        <w:t xml:space="preserve">to engage in responsible and humane</w:t>
      </w:r>
      <w:r>
        <w:t xml:space="preserve"> </w:t>
      </w:r>
      <w:r>
        <w:t xml:space="preserve">behavior toward stray animals. The results obtained served as baseline</w:t>
      </w:r>
      <w:r>
        <w:t xml:space="preserve"> </w:t>
      </w:r>
      <w:r>
        <w:t xml:space="preserve">information for future endeavors in promoting responsible pet ownership</w:t>
      </w:r>
      <w:r>
        <w:t xml:space="preserve"> </w:t>
      </w:r>
      <w:r>
        <w:t xml:space="preserve">for the welfare of companion animals and the community.</w:t>
      </w:r>
    </w:p>
    <w:p>
      <w:pPr>
        <w:pStyle w:val="BodyText"/>
      </w:pPr>
      <w:r>
        <w:rPr>
          <w:bCs/>
          <w:b/>
        </w:rPr>
        <w:t xml:space="preserve">VM3 · 296 words · 0 hedges · 0.0 per 100 words</w:t>
      </w:r>
    </w:p>
    <w:p>
      <w:pPr>
        <w:pStyle w:val="BodyText"/>
      </w:pPr>
      <w:r>
        <w:t xml:space="preserve">This study assessed the profiling, occurrence and antibiotic resistance</w:t>
      </w:r>
      <w:r>
        <w:t xml:space="preserve"> </w:t>
      </w:r>
      <w:r>
        <w:t xml:space="preserve">of Escherichia coli and Salmonella spp., in retail chicken eggs sold in</w:t>
      </w:r>
      <w:r>
        <w:t xml:space="preserve"> </w:t>
      </w:r>
      <w:r>
        <w:t xml:space="preserve">Magalang Public Market.. The study aimed to profile handling practices</w:t>
      </w:r>
      <w:r>
        <w:t xml:space="preserve"> </w:t>
      </w:r>
      <w:r>
        <w:t xml:space="preserve">of egg vendors, detect E. coli and Salmonella spp. on retail chicken</w:t>
      </w:r>
      <w:r>
        <w:t xml:space="preserve"> </w:t>
      </w:r>
      <w:r>
        <w:t xml:space="preserve">eggs sold in Magalang Public market and assess the degree of antibiotic</w:t>
      </w:r>
      <w:r>
        <w:t xml:space="preserve"> </w:t>
      </w:r>
      <w:r>
        <w:t xml:space="preserve">susceptibility of the bacterial isolates. A total of 16 vendors were</w:t>
      </w:r>
      <w:r>
        <w:t xml:space="preserve"> </w:t>
      </w:r>
      <w:r>
        <w:t xml:space="preserve">evaluated on their egg handling practices, evaluated using a survey</w:t>
      </w:r>
      <w:r>
        <w:t xml:space="preserve"> </w:t>
      </w:r>
      <w:r>
        <w:t xml:space="preserve">checklist, focusing on the assessment of demographic profile and their</w:t>
      </w:r>
      <w:r>
        <w:t xml:space="preserve"> </w:t>
      </w:r>
      <w:r>
        <w:t xml:space="preserve">egg handling practices aligned with the Code of Hygienic Practice for</w:t>
      </w:r>
      <w:r>
        <w:t xml:space="preserve"> </w:t>
      </w:r>
      <w:r>
        <w:t xml:space="preserve">Eggs and Egg Products. For the detection of E. coli and Salmonella spp.</w:t>
      </w:r>
      <w:r>
        <w:t xml:space="preserve"> </w:t>
      </w:r>
      <w:r>
        <w:t xml:space="preserve">isolates, a total of 36 samples were collected, comprised of 16 eggshell</w:t>
      </w:r>
      <w:r>
        <w:t xml:space="preserve"> </w:t>
      </w:r>
      <w:r>
        <w:t xml:space="preserve">surface samples and 16 egg content sample. Samples were subjected to</w:t>
      </w:r>
      <w:r>
        <w:t xml:space="preserve"> </w:t>
      </w:r>
      <w:r>
        <w:t xml:space="preserve">selective culture media, biochemical tests and antibiotic sensitivity</w:t>
      </w:r>
      <w:r>
        <w:t xml:space="preserve"> </w:t>
      </w:r>
      <w:r>
        <w:t xml:space="preserve">testing of bacterial isolates. None of the samples tested positive for</w:t>
      </w:r>
      <w:r>
        <w:t xml:space="preserve"> </w:t>
      </w:r>
      <w:r>
        <w:t xml:space="preserve">Salmonella spp. However, 19% of egg samples tested positive for E. coli</w:t>
      </w:r>
      <w:r>
        <w:t xml:space="preserve"> </w:t>
      </w:r>
      <w:r>
        <w:t xml:space="preserve">on eosin methylene blue (EMB) agar, characterized by green metallic</w:t>
      </w:r>
      <w:r>
        <w:t xml:space="preserve"> </w:t>
      </w:r>
      <w:r>
        <w:t xml:space="preserve">sheen colonies. The 6% of positive samples were detected on the egg</w:t>
      </w:r>
      <w:r>
        <w:t xml:space="preserve"> </w:t>
      </w:r>
      <w:r>
        <w:t xml:space="preserve">shell surface, while 13% of isolated E. coli were located on the egg’s</w:t>
      </w:r>
      <w:r>
        <w:t xml:space="preserve"> </w:t>
      </w:r>
      <w:r>
        <w:t xml:space="preserve">homogenized yolk and albumen. Antibiotic sensitivity testing using disk</w:t>
      </w:r>
      <w:r>
        <w:t xml:space="preserve"> </w:t>
      </w:r>
      <w:r>
        <w:t xml:space="preserve">diffusion method following CLSI guidelines revealed 100% resistance to</w:t>
      </w:r>
      <w:r>
        <w:t xml:space="preserve"> </w:t>
      </w:r>
      <w:r>
        <w:t xml:space="preserve">chloramphenicol, tetracycline, and streptomycin. While 33% showed</w:t>
      </w:r>
      <w:r>
        <w:t xml:space="preserve"> </w:t>
      </w:r>
      <w:r>
        <w:t xml:space="preserve">resistance to meropenem. On the other hand,</w:t>
      </w:r>
      <w:r>
        <w:t xml:space="preserve"> </w:t>
      </w:r>
      <w:r>
        <w:rPr>
          <w:bCs/>
          <w:b/>
        </w:rPr>
        <w:t xml:space="preserve">the evaluation of retail</w:t>
      </w:r>
      <w:r>
        <w:rPr>
          <w:bCs/>
          <w:b/>
        </w:rPr>
        <w:t xml:space="preserve"> </w:t>
      </w:r>
      <w:r>
        <w:rPr>
          <w:bCs/>
          <w:b/>
        </w:rPr>
        <w:t xml:space="preserve">egg vendors showed a major issue of reusing the egg trays across vendors</w:t>
      </w:r>
      <w:r>
        <w:rPr>
          <w:bCs/>
          <w:b/>
        </w:rPr>
        <w:t xml:space="preserve"> </w:t>
      </w:r>
      <w:r>
        <w:rPr>
          <w:bCs/>
          <w:b/>
        </w:rPr>
        <w:t xml:space="preserve">which has been strongly linked to bacterial growth on eggshells, yolks</w:t>
      </w:r>
      <w:r>
        <w:rPr>
          <w:bCs/>
          <w:b/>
        </w:rPr>
        <w:t xml:space="preserve"> </w:t>
      </w:r>
      <w:r>
        <w:rPr>
          <w:bCs/>
          <w:b/>
        </w:rPr>
        <w:t xml:space="preserve">and albumen, with p-values of 0.030 and 0.014, respectively [C]</w:t>
      </w:r>
      <w:r>
        <w:t xml:space="preserve">. The</w:t>
      </w:r>
      <w:r>
        <w:t xml:space="preserve"> </w:t>
      </w:r>
      <w:r>
        <w:t xml:space="preserve">findings</w:t>
      </w:r>
      <w:r>
        <w:t xml:space="preserve"> </w:t>
      </w:r>
      <w:r>
        <w:rPr>
          <w:strike/>
          <w:bCs/>
          <w:b/>
        </w:rPr>
        <w:t xml:space="preserve">suggests</w:t>
      </w:r>
      <w:r>
        <w:t xml:space="preserve"> </w:t>
      </w:r>
      <w:r>
        <w:t xml:space="preserve">(FP-Rec) the need for assessment of knowledge,</w:t>
      </w:r>
      <w:r>
        <w:t xml:space="preserve"> </w:t>
      </w:r>
      <w:r>
        <w:t xml:space="preserve">attitudes and practices of retail egg vendors about food safety and</w:t>
      </w:r>
      <w:r>
        <w:t xml:space="preserve"> </w:t>
      </w:r>
      <w:r>
        <w:t xml:space="preserve">regular antimicrobial resistance monitoring on retail eggs.</w:t>
      </w:r>
    </w:p>
    <w:p>
      <w:pPr>
        <w:pStyle w:val="BodyText"/>
      </w:pPr>
      <w:r>
        <w:rPr>
          <w:bCs/>
          <w:b/>
        </w:rPr>
        <w:t xml:space="preserve">VM4 · 250 words · 0 hedges · 0.0 per 100 words</w:t>
      </w:r>
    </w:p>
    <w:p>
      <w:pPr>
        <w:pStyle w:val="BodyText"/>
      </w:pPr>
      <w:r>
        <w:t xml:space="preserve">The Escherichia coli and Campylobacter jejuni are two of the foodborne</w:t>
      </w:r>
      <w:r>
        <w:t xml:space="preserve"> </w:t>
      </w:r>
      <w:r>
        <w:t xml:space="preserve">pathogens affecting public health around the world. A cross-sectional</w:t>
      </w:r>
      <w:r>
        <w:t xml:space="preserve"> </w:t>
      </w:r>
      <w:r>
        <w:t xml:space="preserve">bacteriological study was conducted from January to February 2025 in</w:t>
      </w:r>
      <w:r>
        <w:t xml:space="preserve"> </w:t>
      </w:r>
      <w:r>
        <w:t xml:space="preserve">Mexico, Pampanga. This study presents the bacteriological analysis of E.</w:t>
      </w:r>
      <w:r>
        <w:t xml:space="preserve"> </w:t>
      </w:r>
      <w:r>
        <w:t xml:space="preserve">coli and C. jejuni from 12 raw buffalo milk samples from 12 vendors.</w:t>
      </w:r>
      <w:r>
        <w:t xml:space="preserve"> </w:t>
      </w:r>
      <w:r>
        <w:t xml:space="preserve">Data were gathered from vendors through modified and patterned</w:t>
      </w:r>
      <w:r>
        <w:t xml:space="preserve"> </w:t>
      </w:r>
      <w:r>
        <w:t xml:space="preserve">questionnaires to assess demographics and hygiene practices of vendors.</w:t>
      </w:r>
      <w:r>
        <w:t xml:space="preserve"> </w:t>
      </w:r>
      <w:r>
        <w:rPr>
          <w:bCs/>
          <w:b/>
        </w:rPr>
        <w:t xml:space="preserve">Results indicated that most vendors lacked formal training in</w:t>
      </w:r>
      <w:r>
        <w:rPr>
          <w:bCs/>
          <w:b/>
        </w:rPr>
        <w:t xml:space="preserve"> </w:t>
      </w:r>
      <w:r>
        <w:rPr>
          <w:bCs/>
          <w:b/>
        </w:rPr>
        <w:t xml:space="preserve">milk-handling (100 %) did not use refrigeration, new bottles, or any</w:t>
      </w:r>
      <w:r>
        <w:rPr>
          <w:bCs/>
          <w:b/>
        </w:rPr>
        <w:t xml:space="preserve"> </w:t>
      </w:r>
      <w:r>
        <w:rPr>
          <w:bCs/>
          <w:b/>
        </w:rPr>
        <w:t xml:space="preserve">preservation methods (100%) [R]</w:t>
      </w:r>
      <w:r>
        <w:t xml:space="preserve">. The majority of the vendors that</w:t>
      </w:r>
      <w:r>
        <w:t xml:space="preserve"> </w:t>
      </w:r>
      <w:r>
        <w:t xml:space="preserve">participated in the study sell milk at public markets (66.7 %), while</w:t>
      </w:r>
      <w:r>
        <w:t xml:space="preserve"> </w:t>
      </w:r>
      <w:r>
        <w:t xml:space="preserve">others sell it through peddling (25 %) or by using vehicles (8.3 %). The</w:t>
      </w:r>
      <w:r>
        <w:t xml:space="preserve"> </w:t>
      </w:r>
      <w:r>
        <w:t xml:space="preserve">detection and isolation of these pathogens was carried out by using</w:t>
      </w:r>
      <w:r>
        <w:t xml:space="preserve"> </w:t>
      </w:r>
      <w:r>
        <w:t xml:space="preserve">selective culture media and biochemical tests for further</w:t>
      </w:r>
      <w:r>
        <w:t xml:space="preserve"> </w:t>
      </w:r>
      <w:r>
        <w:t xml:space="preserve">identification. The C. jejuni was not detected in any of the samples</w:t>
      </w:r>
      <w:r>
        <w:t xml:space="preserve"> </w:t>
      </w:r>
      <w:r>
        <w:t xml:space="preserve">(0%) on Charcoal Cefoperozone Deoxycholate agar (CCDA). In contrast, all</w:t>
      </w:r>
      <w:r>
        <w:t xml:space="preserve"> </w:t>
      </w:r>
      <w:r>
        <w:t xml:space="preserve">12 samples (100%) tested positive for E.coli on MacConkey agar,</w:t>
      </w:r>
      <w:r>
        <w:t xml:space="preserve"> </w:t>
      </w:r>
      <w:r>
        <w:t xml:space="preserve">characterized by moist and pink to red colonies, on Eosin Methylene Blue</w:t>
      </w:r>
      <w:r>
        <w:t xml:space="preserve"> </w:t>
      </w:r>
      <w:r>
        <w:t xml:space="preserve">agar, characterized by its green metallic sheen and nutrient agar,</w:t>
      </w:r>
      <w:r>
        <w:t xml:space="preserve"> </w:t>
      </w:r>
      <w:r>
        <w:t xml:space="preserve">characterized by opaque, creamy/off-white colonies. Isolates were</w:t>
      </w:r>
      <w:r>
        <w:t xml:space="preserve"> </w:t>
      </w:r>
      <w:r>
        <w:t xml:space="preserve">subjected to biochemical tests, such as Triple Sugar Iron (TSI), IMViC</w:t>
      </w:r>
      <w:r>
        <w:t xml:space="preserve"> </w:t>
      </w:r>
      <w:r>
        <w:t xml:space="preserve">series, Catalase, Hippurate hydrolysis, and Gram staining. These</w:t>
      </w:r>
      <w:r>
        <w:t xml:space="preserve"> </w:t>
      </w:r>
      <w:r>
        <w:t xml:space="preserve">findings</w:t>
      </w:r>
      <w:r>
        <w:t xml:space="preserve"> </w:t>
      </w:r>
      <w:r>
        <w:rPr>
          <w:strike/>
          <w:bCs/>
          <w:b/>
        </w:rPr>
        <w:t xml:space="preserve">suggest</w:t>
      </w:r>
      <w:r>
        <w:t xml:space="preserve"> </w:t>
      </w:r>
      <w:r>
        <w:t xml:space="preserve">(FP-Rec) the need to improve training,</w:t>
      </w:r>
      <w:r>
        <w:t xml:space="preserve"> </w:t>
      </w:r>
      <w:r>
        <w:t xml:space="preserve">regulation of milk storage, and the enforcement of labeling and</w:t>
      </w:r>
      <w:r>
        <w:t xml:space="preserve"> </w:t>
      </w:r>
      <w:r>
        <w:t xml:space="preserve">sanitation standards to improve public health safety in the milk supply</w:t>
      </w:r>
      <w:r>
        <w:t xml:space="preserve"> </w:t>
      </w:r>
      <w:r>
        <w:t xml:space="preserve">chain.</w:t>
      </w:r>
    </w:p>
    <w:p>
      <w:pPr>
        <w:pStyle w:val="BodyText"/>
      </w:pPr>
      <w:r>
        <w:rPr>
          <w:bCs/>
          <w:b/>
        </w:rPr>
        <w:t xml:space="preserve">VM5 · 256 words · 1 hedges · 0.39 per 100 words</w:t>
      </w:r>
    </w:p>
    <w:p>
      <w:pPr>
        <w:pStyle w:val="BodyText"/>
      </w:pPr>
      <w:r>
        <w:t xml:space="preserve">The prevalence of dermatophytosis and emerging drug resistance</w:t>
      </w:r>
      <w:r>
        <w:t xml:space="preserve"> </w:t>
      </w:r>
      <w:r>
        <w:t xml:space="preserve">underscores the need for alternative therapeutic approaches, leading to</w:t>
      </w:r>
      <w:r>
        <w:t xml:space="preserve"> </w:t>
      </w:r>
      <w:r>
        <w:t xml:space="preserve">a focus on medicinal plants. This study explores the</w:t>
      </w:r>
      <w:r>
        <w:t xml:space="preserve"> </w:t>
      </w:r>
      <w:r>
        <w:rPr>
          <w:strike/>
          <w:bCs/>
          <w:b/>
        </w:rPr>
        <w:t xml:space="preserve">potential</w:t>
      </w:r>
      <w:r>
        <w:t xml:space="preserve"> </w:t>
      </w:r>
      <w:r>
        <w:t xml:space="preserve">(FP-Gen) antifungal properties of Muntingia calabura L. methanolic leaf</w:t>
      </w:r>
      <w:r>
        <w:t xml:space="preserve"> </w:t>
      </w:r>
      <w:r>
        <w:t xml:space="preserve">extracts against Trichophyton mentagrophytes, a dermatophyte species.</w:t>
      </w:r>
      <w:r>
        <w:t xml:space="preserve"> </w:t>
      </w:r>
      <w:r>
        <w:t xml:space="preserve">The methanolic leaf extract of M. calabura L. exhibited various</w:t>
      </w:r>
      <w:r>
        <w:t xml:space="preserve"> </w:t>
      </w:r>
      <w:r>
        <w:t xml:space="preserve">phytochemicals, including anthraquinones, anthrones, alkaloids,</w:t>
      </w:r>
      <w:r>
        <w:t xml:space="preserve"> </w:t>
      </w:r>
      <w:r>
        <w:t xml:space="preserve">glycosides, phenols, tannins, flavonoids, saponins, higher alcohols, and</w:t>
      </w:r>
      <w:r>
        <w:t xml:space="preserve"> </w:t>
      </w:r>
      <w:r>
        <w:t xml:space="preserve">essential oils, presenting a promising natural resource for antifungal</w:t>
      </w:r>
      <w:r>
        <w:t xml:space="preserve"> </w:t>
      </w:r>
      <w:r>
        <w:t xml:space="preserve">treatment. Agar well diffusion, broth dilution, and determination of</w:t>
      </w:r>
      <w:r>
        <w:t xml:space="preserve"> </w:t>
      </w:r>
      <w:r>
        <w:t xml:space="preserve">minimum fungicidal concentration, were employed to evaluate the efficacy</w:t>
      </w:r>
      <w:r>
        <w:t xml:space="preserve"> </w:t>
      </w:r>
      <w:r>
        <w:t xml:space="preserve">of the extract. Statistical analysis revealed a significant difference</w:t>
      </w:r>
      <w:r>
        <w:t xml:space="preserve"> </w:t>
      </w:r>
      <w:r>
        <w:t xml:space="preserve">among the treatments used, with Ketoconazole (Treatment 2) as a positive</w:t>
      </w:r>
      <w:r>
        <w:t xml:space="preserve"> </w:t>
      </w:r>
      <w:r>
        <w:t xml:space="preserve">control displaying high susceptibility (42.5667 mm). Treatment 3,</w:t>
      </w:r>
      <w:r>
        <w:t xml:space="preserve"> </w:t>
      </w:r>
      <w:r>
        <w:t xml:space="preserve">containing 200 mg/mL M. calabura L. methanolic leaf extract, showed that</w:t>
      </w:r>
      <w:r>
        <w:t xml:space="preserve"> </w:t>
      </w:r>
      <w:r>
        <w:t xml:space="preserve">the microorganism utilized was susceptible to the leaf extract at this</w:t>
      </w:r>
      <w:r>
        <w:t xml:space="preserve"> </w:t>
      </w:r>
      <w:r>
        <w:t xml:space="preserve">concentration as it exhibited a DIZ of 26.4667 mm. Treatment 4</w:t>
      </w:r>
      <w:r>
        <w:t xml:space="preserve"> </w:t>
      </w:r>
      <w:r>
        <w:t xml:space="preserve">containing 100 mg/mL M. calabura L. methanolic leaf extract showed</w:t>
      </w:r>
      <w:r>
        <w:t xml:space="preserve"> </w:t>
      </w:r>
      <w:r>
        <w:t xml:space="preserve">intermediate susceptibility as the DIZ was measured at 15.3667 mm.</w:t>
      </w:r>
      <w:r>
        <w:t xml:space="preserve"> </w:t>
      </w:r>
      <w:r>
        <w:t xml:space="preserve">Treatment 5, composed of 10 mg/mL M. calabura L. methanolic leaf</w:t>
      </w:r>
      <w:r>
        <w:t xml:space="preserve"> </w:t>
      </w:r>
      <w:r>
        <w:t xml:space="preserve">extract, displayed an inhibition zone of 9.70 mm. Treatment 1, which</w:t>
      </w:r>
      <w:r>
        <w:t xml:space="preserve"> </w:t>
      </w:r>
      <w:r>
        <w:t xml:space="preserve">contained distilled water, did not display any inhibition against T.</w:t>
      </w:r>
      <w:r>
        <w:t xml:space="preserve"> </w:t>
      </w:r>
      <w:r>
        <w:t xml:space="preserve">mentagrophytes. The minimum inhibitory concentration (MIC) of M.</w:t>
      </w:r>
      <w:r>
        <w:t xml:space="preserve"> </w:t>
      </w:r>
      <w:r>
        <w:t xml:space="preserve">calabura L. methanolic leaf extract was determined at 10 mg/mL,</w:t>
      </w:r>
      <w:r>
        <w:t xml:space="preserve"> </w:t>
      </w:r>
      <w:r>
        <w:t xml:space="preserve">consistent with the minimum fungicidal concentration. These findings</w:t>
      </w:r>
      <w:r>
        <w:t xml:space="preserve"> </w:t>
      </w:r>
      <w:r>
        <w:t xml:space="preserve">highlight the</w:t>
      </w:r>
      <w:r>
        <w:t xml:space="preserve"> </w:t>
      </w:r>
      <w:r>
        <w:rPr>
          <w:bCs/>
          <w:b/>
        </w:rPr>
        <w:t xml:space="preserve">potential (EC)</w:t>
      </w:r>
      <w:r>
        <w:t xml:space="preserve"> </w:t>
      </w:r>
      <w:r>
        <w:t xml:space="preserve">of M. calabura L. as a source of</w:t>
      </w:r>
      <w:r>
        <w:t xml:space="preserve"> </w:t>
      </w:r>
      <w:r>
        <w:t xml:space="preserve">antifungal agents, warranting further investigation into its therapeutic</w:t>
      </w:r>
      <w:r>
        <w:t xml:space="preserve"> </w:t>
      </w:r>
      <w:r>
        <w:t xml:space="preserve">applications and formulation for dermatophytosis management.</w:t>
      </w:r>
    </w:p>
    <w:p>
      <w:pPr>
        <w:pStyle w:val="BodyText"/>
      </w:pPr>
      <w:r>
        <w:rPr>
          <w:bCs/>
          <w:b/>
        </w:rPr>
        <w:t xml:space="preserve">VM6 · 278 words · 0 hedges · 0.0 per 100 words</w:t>
      </w:r>
    </w:p>
    <w:p>
      <w:pPr>
        <w:pStyle w:val="BodyText"/>
      </w:pPr>
      <w:r>
        <w:t xml:space="preserve">This study determined the hematological and electrolyte values of</w:t>
      </w:r>
      <w:r>
        <w:t xml:space="preserve"> </w:t>
      </w:r>
      <w:r>
        <w:t xml:space="preserve">island-born New Zealand White (NZW) rabbits (Oryctolagus cuniculus).</w:t>
      </w:r>
      <w:r>
        <w:t xml:space="preserve"> </w:t>
      </w:r>
      <w:r>
        <w:t xml:space="preserve">Eight (8) adult rabbits (4 female and 4 male) with initial weight</w:t>
      </w:r>
      <w:r>
        <w:t xml:space="preserve"> </w:t>
      </w:r>
      <w:r>
        <w:t xml:space="preserve">between 2.5 to 2.7kgs were used for sample collection. Around 3.0 ml and</w:t>
      </w:r>
      <w:r>
        <w:t xml:space="preserve"> </w:t>
      </w:r>
      <w:r>
        <w:t xml:space="preserve">0.5 ml of blood was collected from the central auricular artery and the</w:t>
      </w:r>
      <w:r>
        <w:t xml:space="preserve"> </w:t>
      </w:r>
      <w:r>
        <w:t xml:space="preserve">lateral saphenous vein, respectively of each rabbit. Hematological tests</w:t>
      </w:r>
      <w:r>
        <w:t xml:space="preserve"> </w:t>
      </w:r>
      <w:r>
        <w:t xml:space="preserve">for packed cell volume (PCV), red blood cells (RBC), hemoglobin (HGB),</w:t>
      </w:r>
      <w:r>
        <w:t xml:space="preserve"> </w:t>
      </w:r>
      <w:r>
        <w:t xml:space="preserve">mean corpuscular hemoglobin (MCH), mean corpuscular hemoglobin</w:t>
      </w:r>
      <w:r>
        <w:t xml:space="preserve"> </w:t>
      </w:r>
      <w:r>
        <w:t xml:space="preserve">concentration (MCHC), mean corpuscular volume (MCV), white blood cells</w:t>
      </w:r>
      <w:r>
        <w:t xml:space="preserve"> </w:t>
      </w:r>
      <w:r>
        <w:t xml:space="preserve">(WBC), neutrophils, eosinophils, lymphocytes, monocytes, and serum</w:t>
      </w:r>
      <w:r>
        <w:t xml:space="preserve"> </w:t>
      </w:r>
      <w:r>
        <w:t xml:space="preserve">electrolyte tests for sodium (Na), potassium (K), magnesium (Mg), and</w:t>
      </w:r>
      <w:r>
        <w:t xml:space="preserve"> </w:t>
      </w:r>
      <w:r>
        <w:t xml:space="preserve">calcium (Ca) were requested from Hi-Precision Diagnostics Laboratory.</w:t>
      </w:r>
      <w:r>
        <w:t xml:space="preserve"> </w:t>
      </w:r>
      <w:r>
        <w:t xml:space="preserve">Results were gathered and mean values were determined using MS Excel and</w:t>
      </w:r>
      <w:r>
        <w:t xml:space="preserve"> </w:t>
      </w:r>
      <w:r>
        <w:t xml:space="preserve">subjected to statistical analysis using t-test through statistical</w:t>
      </w:r>
      <w:r>
        <w:t xml:space="preserve"> </w:t>
      </w:r>
      <w:r>
        <w:t xml:space="preserve">package for the social sciences (SPSS). The mean values of each</w:t>
      </w:r>
      <w:r>
        <w:t xml:space="preserve"> </w:t>
      </w:r>
      <w:r>
        <w:t xml:space="preserve">hematological parameter of male and female rabbits, respectively were:</w:t>
      </w:r>
      <w:r>
        <w:t xml:space="preserve"> </w:t>
      </w:r>
      <w:r>
        <w:t xml:space="preserve">PCV (37.32% and 37.4%); RBC (5.91x106/mm3 and 5.76x106/mm3); HGB</w:t>
      </w:r>
      <w:r>
        <w:t xml:space="preserve"> </w:t>
      </w:r>
      <w:r>
        <w:t xml:space="preserve">(12.32g/dL and 12.37g/dL); MCH (20.63pg and 21.47pg); MCHC (33.03% and</w:t>
      </w:r>
      <w:r>
        <w:t xml:space="preserve"> </w:t>
      </w:r>
      <w:r>
        <w:t xml:space="preserve">32.90%); MCV (62.57fL and 64.52fL); WBC (7.39x109/L and 8.17x109/L);</w:t>
      </w:r>
      <w:r>
        <w:t xml:space="preserve"> </w:t>
      </w:r>
      <w:r>
        <w:t xml:space="preserve">neutrophils (43.30% and 51.85%); eosinophils (0.10% and 0.10%);</w:t>
      </w:r>
      <w:r>
        <w:t xml:space="preserve"> </w:t>
      </w:r>
      <w:r>
        <w:t xml:space="preserve">lymphocytes (52.47% and 41.22%); monocytes (2.18% and 4.61%); and</w:t>
      </w:r>
      <w:r>
        <w:t xml:space="preserve"> </w:t>
      </w:r>
      <w:r>
        <w:t xml:space="preserve">basophils (1.94% and 2.21%). The mean values of each electrolyte</w:t>
      </w:r>
      <w:r>
        <w:t xml:space="preserve"> </w:t>
      </w:r>
      <w:r>
        <w:t xml:space="preserve">parameter of male and female rabbits, respectively were: sodium</w:t>
      </w:r>
      <w:r>
        <w:t xml:space="preserve"> </w:t>
      </w:r>
      <w:r>
        <w:t xml:space="preserve">(140.25mmol/L and 143.25mmol/L); potassium (4.32mmol/L and 4.37mmol/L);</w:t>
      </w:r>
      <w:r>
        <w:t xml:space="preserve"> </w:t>
      </w:r>
      <w:r>
        <w:t xml:space="preserve">magnesium (0.87mmol/L and 0.98mmol/L); and calcium (3.41mmol/L and</w:t>
      </w:r>
      <w:r>
        <w:t xml:space="preserve"> </w:t>
      </w:r>
      <w:r>
        <w:t xml:space="preserve">3.21mmol/L). Mean values for PCV, RBC, HGB, MCH, MCHC, MCV, WBC,</w:t>
      </w:r>
      <w:r>
        <w:t xml:space="preserve"> </w:t>
      </w:r>
      <w:r>
        <w:t xml:space="preserve">neutrophils, eosinophils, lymphocytes, monocytes, basophils, potassium,</w:t>
      </w:r>
      <w:r>
        <w:t xml:space="preserve"> </w:t>
      </w:r>
      <w:r>
        <w:t xml:space="preserve">magnesium, and calcium were not significantly different while</w:t>
      </w:r>
      <w:r>
        <w:t xml:space="preserve"> </w:t>
      </w:r>
      <w:r>
        <w:rPr>
          <w:bCs/>
          <w:b/>
        </w:rPr>
        <w:t xml:space="preserve">mean</w:t>
      </w:r>
      <w:r>
        <w:rPr>
          <w:bCs/>
          <w:b/>
        </w:rPr>
        <w:t xml:space="preserve"> </w:t>
      </w:r>
      <w:r>
        <w:rPr>
          <w:bCs/>
          <w:b/>
        </w:rPr>
        <w:t xml:space="preserve">values for sodium between male and female NZW rabbits were found to be</w:t>
      </w:r>
      <w:r>
        <w:rPr>
          <w:bCs/>
          <w:b/>
        </w:rPr>
        <w:t xml:space="preserve"> </w:t>
      </w:r>
      <w:r>
        <w:rPr>
          <w:bCs/>
          <w:b/>
        </w:rPr>
        <w:t xml:space="preserve">statistically different (p&lt;0.05) [R]</w:t>
      </w:r>
      <w:r>
        <w:t xml:space="preserve">.</w:t>
      </w:r>
    </w:p>
    <w:p>
      <w:pPr>
        <w:pStyle w:val="BodyText"/>
      </w:pPr>
      <w:r>
        <w:rPr>
          <w:bCs/>
          <w:b/>
        </w:rPr>
        <w:t xml:space="preserve">VM7 · 174 words · 1 hedges · 0.57 per 100 words</w:t>
      </w:r>
    </w:p>
    <w:p>
      <w:pPr>
        <w:pStyle w:val="BodyText"/>
      </w:pPr>
      <w:r>
        <w:t xml:space="preserve">Canine heartworm (Dirofilaria immitis) infection is a significant health</w:t>
      </w:r>
      <w:r>
        <w:t xml:space="preserve"> </w:t>
      </w:r>
      <w:r>
        <w:t xml:space="preserve">concern for dogs in many regions. This study investigated the</w:t>
      </w:r>
      <w:r>
        <w:t xml:space="preserve"> </w:t>
      </w:r>
      <w:r>
        <w:t xml:space="preserve">association between clinical signs and microscopy/serological detection</w:t>
      </w:r>
      <w:r>
        <w:t xml:space="preserve"> </w:t>
      </w:r>
      <w:r>
        <w:t xml:space="preserve">of heartworm at the Angeles City Veterinary Clinic. Canines below six</w:t>
      </w:r>
      <w:r>
        <w:t xml:space="preserve"> </w:t>
      </w:r>
      <w:r>
        <w:t xml:space="preserve">months of age and those receiving annual macrocyclic lactones were</w:t>
      </w:r>
      <w:r>
        <w:t xml:space="preserve"> </w:t>
      </w:r>
      <w:r>
        <w:t xml:space="preserve">excluded. A questionnaire was utilized to collect data, and 100 single</w:t>
      </w:r>
      <w:r>
        <w:t xml:space="preserve"> </w:t>
      </w:r>
      <w:r>
        <w:t xml:space="preserve">step rapid test kits canine heartworm Ag (AccuVet®) were employed along</w:t>
      </w:r>
      <w:r>
        <w:t xml:space="preserve"> </w:t>
      </w:r>
      <w:r>
        <w:t xml:space="preserve">with direct blood smears. However, no positive results were observed in</w:t>
      </w:r>
      <w:r>
        <w:t xml:space="preserve"> </w:t>
      </w:r>
      <w:r>
        <w:t xml:space="preserve">the diagnostic tests conducted. Thus, no significant association between</w:t>
      </w:r>
      <w:r>
        <w:t xml:space="preserve"> </w:t>
      </w:r>
      <w:r>
        <w:t xml:space="preserve">clinical signs and heartworm infection</w:t>
      </w:r>
      <w:r>
        <w:t xml:space="preserve"> </w:t>
      </w:r>
      <w:r>
        <w:rPr>
          <w:bCs/>
          <w:b/>
        </w:rPr>
        <w:t xml:space="preserve">could (EC)</w:t>
      </w:r>
      <w:r>
        <w:t xml:space="preserve"> </w:t>
      </w:r>
      <w:r>
        <w:t xml:space="preserve">be established.</w:t>
      </w:r>
      <w:r>
        <w:t xml:space="preserve"> </w:t>
      </w:r>
      <w:r>
        <w:t xml:space="preserve">Recommendations include increased awareness and education about</w:t>
      </w:r>
      <w:r>
        <w:t xml:space="preserve"> </w:t>
      </w:r>
      <w:r>
        <w:t xml:space="preserve">heartworm prevention, regular testing, evaluation of other diagnostic</w:t>
      </w:r>
      <w:r>
        <w:t xml:space="preserve"> </w:t>
      </w:r>
      <w:r>
        <w:t xml:space="preserve">methods, collaboration and research, continuous monitoring of heartworm</w:t>
      </w:r>
      <w:r>
        <w:t xml:space="preserve"> </w:t>
      </w:r>
      <w:r>
        <w:t xml:space="preserve">prevalence, individualized risk assessment, and collaboration with pet</w:t>
      </w:r>
      <w:r>
        <w:t xml:space="preserve"> </w:t>
      </w:r>
      <w:r>
        <w:t xml:space="preserve">owners. These measures</w:t>
      </w:r>
      <w:r>
        <w:t xml:space="preserve"> </w:t>
      </w:r>
      <w:r>
        <w:rPr>
          <w:strike/>
          <w:bCs/>
          <w:b/>
        </w:rPr>
        <w:t xml:space="preserve">can</w:t>
      </w:r>
      <w:r>
        <w:t xml:space="preserve"> </w:t>
      </w:r>
      <w:r>
        <w:t xml:space="preserve">(FP-Gen) collectively contribute to</w:t>
      </w:r>
      <w:r>
        <w:t xml:space="preserve"> </w:t>
      </w:r>
      <w:r>
        <w:t xml:space="preserve">the effective management and prevention of heartworm disease in the</w:t>
      </w:r>
      <w:r>
        <w:t xml:space="preserve"> </w:t>
      </w:r>
      <w:r>
        <w:t xml:space="preserve">local canine population. Further research with larger sample sizes and</w:t>
      </w:r>
      <w:r>
        <w:t xml:space="preserve"> </w:t>
      </w:r>
      <w:r>
        <w:t xml:space="preserve">diverse populations is</w:t>
      </w:r>
      <w:r>
        <w:t xml:space="preserve"> </w:t>
      </w:r>
      <w:r>
        <w:rPr>
          <w:strike/>
          <w:bCs/>
          <w:b/>
        </w:rPr>
        <w:t xml:space="preserve">needed</w:t>
      </w:r>
      <w:r>
        <w:t xml:space="preserve"> </w:t>
      </w:r>
      <w:r>
        <w:t xml:space="preserve">(FP-Rec) to validate these</w:t>
      </w:r>
      <w:r>
        <w:t xml:space="preserve"> </w:t>
      </w:r>
      <w:r>
        <w:t xml:space="preserve">findings and enhance our understanding of heartworm infection in the</w:t>
      </w:r>
      <w:r>
        <w:t xml:space="preserve"> </w:t>
      </w:r>
      <w:r>
        <w:t xml:space="preserve">study area.</w:t>
      </w:r>
    </w:p>
    <w:p>
      <w:pPr>
        <w:pStyle w:val="BodyText"/>
      </w:pPr>
      <w:r>
        <w:rPr>
          <w:bCs/>
          <w:b/>
        </w:rPr>
        <w:t xml:space="preserve">VM8 · 253 words · 1 hedges · 0.4 per 100 words</w:t>
      </w:r>
    </w:p>
    <w:p>
      <w:pPr>
        <w:pStyle w:val="BodyText"/>
      </w:pPr>
      <w:r>
        <w:t xml:space="preserve">This study investigated the in vitro anthelmintic efficacy of aqueous</w:t>
      </w:r>
      <w:r>
        <w:t xml:space="preserve"> </w:t>
      </w:r>
      <w:r>
        <w:t xml:space="preserve">leaf extracts from tamarind (Tamarindus indica) and jackfruit</w:t>
      </w:r>
      <w:r>
        <w:t xml:space="preserve"> </w:t>
      </w:r>
      <w:r>
        <w:t xml:space="preserve">(Artocarpus heterophyllus) against Fasciola spp. A total of ten</w:t>
      </w:r>
      <w:r>
        <w:t xml:space="preserve"> </w:t>
      </w:r>
      <w:r>
        <w:t xml:space="preserve">treatment groups were established to evaluate the effects of tamarind</w:t>
      </w:r>
      <w:r>
        <w:t xml:space="preserve"> </w:t>
      </w:r>
      <w:r>
        <w:t xml:space="preserve">leaf extract (TLE) and jackfruit leaf extract (JLE) at various</w:t>
      </w:r>
      <w:r>
        <w:t xml:space="preserve"> </w:t>
      </w:r>
      <w:r>
        <w:t xml:space="preserve">concentrations (5%, 10%, 25%, and 40%) on the motility and viability of</w:t>
      </w:r>
      <w:r>
        <w:t xml:space="preserve"> </w:t>
      </w:r>
      <w:r>
        <w:t xml:space="preserve">adult Fasciola spp., alongside positive (Albendazole) and negative</w:t>
      </w:r>
      <w:r>
        <w:t xml:space="preserve"> </w:t>
      </w:r>
      <w:r>
        <w:t xml:space="preserve">(Nutrient broth) controls. Four adult flukes were placed in each</w:t>
      </w:r>
      <w:r>
        <w:t xml:space="preserve"> </w:t>
      </w:r>
      <w:r>
        <w:t xml:space="preserve">experimental plate, with each treatment tested in triplicate. Motility</w:t>
      </w:r>
      <w:r>
        <w:t xml:space="preserve"> </w:t>
      </w:r>
      <w:r>
        <w:t xml:space="preserve">was monitored every 10 minutes, and histopathological examinations were</w:t>
      </w:r>
      <w:r>
        <w:t xml:space="preserve"> </w:t>
      </w:r>
      <w:r>
        <w:t xml:space="preserve">conducted to assess morphological changes in the tegument of the flukes.</w:t>
      </w:r>
      <w:r>
        <w:t xml:space="preserve"> </w:t>
      </w:r>
      <w:r>
        <w:t xml:space="preserve">Phytochemical screening confirmed the presence of alkaloids, flavonoids,</w:t>
      </w:r>
      <w:r>
        <w:t xml:space="preserve"> </w:t>
      </w:r>
      <w:r>
        <w:t xml:space="preserve">glycosides, phenols, quinones, saponins, and tannins in both TLE and</w:t>
      </w:r>
      <w:r>
        <w:t xml:space="preserve"> </w:t>
      </w:r>
      <w:r>
        <w:t xml:space="preserve">JLE. The results demonstrated that both extracts possess fasciolocidal</w:t>
      </w:r>
      <w:r>
        <w:t xml:space="preserve"> </w:t>
      </w:r>
      <w:r>
        <w:t xml:space="preserve">activity, with a dose-dependent reduction in motility and increased</w:t>
      </w:r>
      <w:r>
        <w:t xml:space="preserve"> </w:t>
      </w:r>
      <w:r>
        <w:t xml:space="preserve">mortality of the flukes. TLE exhibited a more potent effect, achieving</w:t>
      </w:r>
      <w:r>
        <w:t xml:space="preserve"> </w:t>
      </w:r>
      <w:r>
        <w:t xml:space="preserve">complete immobilization at 40% concentration within 7.84 minutes and</w:t>
      </w:r>
      <w:r>
        <w:t xml:space="preserve"> </w:t>
      </w:r>
      <w:r>
        <w:t xml:space="preserve">lower LD₅₀ (2.680 mL/mL) and LD₉₀ (3.209 mL/mL) values compared to JLE</w:t>
      </w:r>
      <w:r>
        <w:t xml:space="preserve"> </w:t>
      </w:r>
      <w:r>
        <w:t xml:space="preserve">(LD₅₀ = 5.156 mL/mL; LD₉₀ = 6.165 mL/mL). Nevertheless, JLE also caused</w:t>
      </w:r>
      <w:r>
        <w:t xml:space="preserve"> </w:t>
      </w:r>
      <w:r>
        <w:t xml:space="preserve">significant reductions in motility and tegumental damage at higher</w:t>
      </w:r>
      <w:r>
        <w:t xml:space="preserve"> </w:t>
      </w:r>
      <w:r>
        <w:t xml:space="preserve">concentrations. Histopathological analysis confirmed that both extracts</w:t>
      </w:r>
      <w:r>
        <w:t xml:space="preserve"> </w:t>
      </w:r>
      <w:r>
        <w:t xml:space="preserve">induced severe alterations in the fluke’s tegument, including</w:t>
      </w:r>
      <w:r>
        <w:t xml:space="preserve"> </w:t>
      </w:r>
      <w:r>
        <w:t xml:space="preserve">vacuolations, separation of layers, and disintegration of spines and</w:t>
      </w:r>
      <w:r>
        <w:t xml:space="preserve"> </w:t>
      </w:r>
      <w:r>
        <w:t xml:space="preserve">tegumental swelling. These findings confirm the</w:t>
      </w:r>
      <w:r>
        <w:t xml:space="preserve"> </w:t>
      </w:r>
      <w:r>
        <w:rPr>
          <w:bCs/>
          <w:b/>
        </w:rPr>
        <w:t xml:space="preserve">potential (EC)</w:t>
      </w:r>
      <w:r>
        <w:t xml:space="preserve"> </w:t>
      </w:r>
      <w:r>
        <w:t xml:space="preserve">of</w:t>
      </w:r>
      <w:r>
        <w:t xml:space="preserve"> </w:t>
      </w:r>
      <w:r>
        <w:t xml:space="preserve">both plant extracts as natural anthelmintics, with tamarind showing</w:t>
      </w:r>
      <w:r>
        <w:t xml:space="preserve"> </w:t>
      </w:r>
      <w:r>
        <w:t xml:space="preserve">superior efficacy. The study supports the development of plant-based</w:t>
      </w:r>
      <w:r>
        <w:t xml:space="preserve"> </w:t>
      </w:r>
      <w:r>
        <w:t xml:space="preserve">alternatives for the sustainable control of fasciolosis in livestock.</w:t>
      </w:r>
    </w:p>
    <w:p>
      <w:pPr>
        <w:pStyle w:val="BodyText"/>
      </w:pPr>
      <w:r>
        <w:rPr>
          <w:bCs/>
          <w:b/>
        </w:rPr>
        <w:t xml:space="preserve">VM9 · 430 words · 0 hedges · 0.0 per 100 words</w:t>
      </w:r>
    </w:p>
    <w:p>
      <w:pPr>
        <w:pStyle w:val="BodyText"/>
      </w:pPr>
      <w:r>
        <w:t xml:space="preserve">Plastic pollution has been a long-standing environmental concern due to</w:t>
      </w:r>
      <w:r>
        <w:t xml:space="preserve"> </w:t>
      </w:r>
      <w:r>
        <w:t xml:space="preserve">improper waste management. Its persistence in marine environments,</w:t>
      </w:r>
      <w:r>
        <w:t xml:space="preserve"> </w:t>
      </w:r>
      <w:r>
        <w:t xml:space="preserve">particularly in the form of microplastics, posed</w:t>
      </w:r>
      <w:r>
        <w:t xml:space="preserve"> </w:t>
      </w:r>
      <w:r>
        <w:rPr>
          <w:strike/>
          <w:bCs/>
          <w:b/>
        </w:rPr>
        <w:t xml:space="preserve">potential</w:t>
      </w:r>
      <w:r>
        <w:t xml:space="preserve"> </w:t>
      </w:r>
      <w:r>
        <w:t xml:space="preserve">(FP-Gen) health risks to aquatic species and humans through seafood</w:t>
      </w:r>
      <w:r>
        <w:t xml:space="preserve"> </w:t>
      </w:r>
      <w:r>
        <w:t xml:space="preserve">consumption. This study was conducted to detect microplastics in</w:t>
      </w:r>
      <w:r>
        <w:t xml:space="preserve"> </w:t>
      </w:r>
      <w:r>
        <w:t xml:space="preserve">Whiteleg shrimp (Litopenaeus vannamei) sold at the Magalang Pampanga</w:t>
      </w:r>
      <w:r>
        <w:t xml:space="preserve"> </w:t>
      </w:r>
      <w:r>
        <w:t xml:space="preserve">Market. A total of 10 shrimp samples per stall were collected, equating</w:t>
      </w:r>
      <w:r>
        <w:t xml:space="preserve"> </w:t>
      </w:r>
      <w:r>
        <w:t xml:space="preserve">to 30 shrimps overall from the 3 stalls available. Composite sampling</w:t>
      </w:r>
      <w:r>
        <w:t xml:space="preserve"> </w:t>
      </w:r>
      <w:r>
        <w:t xml:space="preserve">was applied in this study; hence, all individual shrimps from each stall</w:t>
      </w:r>
      <w:r>
        <w:t xml:space="preserve"> </w:t>
      </w:r>
      <w:r>
        <w:t xml:space="preserve">were counted as one sample. The samples were separated into two</w:t>
      </w:r>
      <w:r>
        <w:t xml:space="preserve"> </w:t>
      </w:r>
      <w:r>
        <w:t xml:space="preserve">treatments: Treatment 1, which consisted of the hepatopancreas and</w:t>
      </w:r>
      <w:r>
        <w:t xml:space="preserve"> </w:t>
      </w:r>
      <w:r>
        <w:t xml:space="preserve">gastrointestinal tract of the shrimp, and Treatment 2, which consisted</w:t>
      </w:r>
      <w:r>
        <w:t xml:space="preserve"> </w:t>
      </w:r>
      <w:r>
        <w:t xml:space="preserve">of the shrimp muscle. The samples were subjected to light microscopy and</w:t>
      </w:r>
      <w:r>
        <w:t xml:space="preserve"> </w:t>
      </w:r>
      <w:r>
        <w:t xml:space="preserve">were categorized as follows: Treatment 1 Stall 1 (T1S1), Treatment 1</w:t>
      </w:r>
      <w:r>
        <w:t xml:space="preserve"> </w:t>
      </w:r>
      <w:r>
        <w:t xml:space="preserve">Stall 2 (T1S2), Treatment 1 Stall 3 (T1S3), Treatment 2 Stall 1 (T2S1),</w:t>
      </w:r>
      <w:r>
        <w:t xml:space="preserve"> </w:t>
      </w:r>
      <w:r>
        <w:t xml:space="preserve">Treatment 2 Stall 2 (T2S2), and Treatment 2 Stall 3 (T2S3). Each sample</w:t>
      </w:r>
      <w:r>
        <w:t xml:space="preserve"> </w:t>
      </w:r>
      <w:r>
        <w:t xml:space="preserve">was added to a 10% KOH solution for the digestion of soft tissue.</w:t>
      </w:r>
      <w:r>
        <w:t xml:space="preserve"> </w:t>
      </w:r>
      <w:r>
        <w:t xml:space="preserve">Afterwards, 60% sodium iodide was used for the density separation of</w:t>
      </w:r>
      <w:r>
        <w:t xml:space="preserve"> </w:t>
      </w:r>
      <w:r>
        <w:t xml:space="preserve">microplastics and undigested organic matter. The supernatant was</w:t>
      </w:r>
      <w:r>
        <w:t xml:space="preserve"> </w:t>
      </w:r>
      <w:r>
        <w:t xml:space="preserve">collected using a pipette and then transferred to a slide before</w:t>
      </w:r>
      <w:r>
        <w:t xml:space="preserve"> </w:t>
      </w:r>
      <w:r>
        <w:t xml:space="preserve">subjecting to a light microscope. In each slide, 10 µl of sample was</w:t>
      </w:r>
      <w:r>
        <w:t xml:space="preserve"> </w:t>
      </w:r>
      <w:r>
        <w:t xml:space="preserve">placed. This was repeated five times in separate slides.</w:t>
      </w:r>
      <w:r>
        <w:t xml:space="preserve"> </w:t>
      </w:r>
      <w:r>
        <w:rPr>
          <w:bCs/>
          <w:b/>
        </w:rPr>
        <w:t xml:space="preserve">A total of</w:t>
      </w:r>
      <w:r>
        <w:rPr>
          <w:bCs/>
          <w:b/>
        </w:rPr>
        <w:t xml:space="preserve"> </w:t>
      </w:r>
      <w:r>
        <w:rPr>
          <w:bCs/>
          <w:b/>
        </w:rPr>
        <w:t xml:space="preserve">181 microplastics were detected across all samples, wherein the</w:t>
      </w:r>
      <w:r>
        <w:rPr>
          <w:bCs/>
          <w:b/>
        </w:rPr>
        <w:t xml:space="preserve"> </w:t>
      </w:r>
      <w:r>
        <w:rPr>
          <w:bCs/>
          <w:b/>
        </w:rPr>
        <w:t xml:space="preserve">concentration of microplastics was higher in Treatment 1 [R]</w:t>
      </w:r>
      <w:r>
        <w:t xml:space="preserve"> </w:t>
      </w:r>
      <w:r>
        <w:t xml:space="preserve">(74.03%). Fragments (39.02%) were the most dominant shape, followed by</w:t>
      </w:r>
      <w:r>
        <w:t xml:space="preserve"> </w:t>
      </w:r>
      <w:r>
        <w:t xml:space="preserve">fibers (23.20%), lines (17.13%), and then pellets (3.31%). The most</w:t>
      </w:r>
      <w:r>
        <w:t xml:space="preserve"> </w:t>
      </w:r>
      <w:r>
        <w:t xml:space="preserve">dominant color was gray (33.15%), followed by blue (24.31%), black</w:t>
      </w:r>
      <w:r>
        <w:t xml:space="preserve"> </w:t>
      </w:r>
      <w:r>
        <w:t xml:space="preserve">(11.6%), red (9.39%), clear (7.73%), brown (6.63%), violet (3.31%),</w:t>
      </w:r>
      <w:r>
        <w:t xml:space="preserve"> </w:t>
      </w:r>
      <w:r>
        <w:t xml:space="preserve">yellow (3.31%), and green (0.55%). Most of the particles ranged in size</w:t>
      </w:r>
      <w:r>
        <w:t xml:space="preserve"> </w:t>
      </w:r>
      <w:r>
        <w:t xml:space="preserve">from 11–50 µm (58.01%), followed by &lt;10.9 µm (29.83%), 51–100 µm</w:t>
      </w:r>
      <w:r>
        <w:t xml:space="preserve"> </w:t>
      </w:r>
      <w:r>
        <w:t xml:space="preserve">(6.08%), 101–200 µm (5.52%), and &gt;201 µm (1.10%). Through random</w:t>
      </w:r>
      <w:r>
        <w:t xml:space="preserve"> </w:t>
      </w:r>
      <w:r>
        <w:t xml:space="preserve">sampling, one microplastic was selected from each shape for polymer</w:t>
      </w:r>
      <w:r>
        <w:t xml:space="preserve"> </w:t>
      </w:r>
      <w:r>
        <w:t xml:space="preserve">analysis using Fourier Transform Infrared Spectroscopy (FTIR). The</w:t>
      </w:r>
      <w:r>
        <w:t xml:space="preserve"> </w:t>
      </w:r>
      <w:r>
        <w:t xml:space="preserve">fragment had a 97% match with high-density polyethylene, the fiber had a</w:t>
      </w:r>
      <w:r>
        <w:t xml:space="preserve"> </w:t>
      </w:r>
      <w:r>
        <w:t xml:space="preserve">90% match with an olefin copolymer, and the line sample had a 96% match</w:t>
      </w:r>
      <w:r>
        <w:t xml:space="preserve"> </w:t>
      </w:r>
      <w:r>
        <w:t xml:space="preserve">with polypropylene, while the pellet sample was rejected for analysis</w:t>
      </w:r>
      <w:r>
        <w:t xml:space="preserve"> </w:t>
      </w:r>
      <w:r>
        <w:t xml:space="preserve">due to its small size. To reduce microplastic pollution, the findings</w:t>
      </w:r>
      <w:r>
        <w:t xml:space="preserve"> </w:t>
      </w:r>
      <w:r>
        <w:rPr>
          <w:strike/>
          <w:bCs/>
          <w:b/>
        </w:rPr>
        <w:t xml:space="preserve">recommend</w:t>
      </w:r>
      <w:r>
        <w:t xml:space="preserve"> </w:t>
      </w:r>
      <w:r>
        <w:t xml:space="preserve">(FP-Rec) removing the shrimp’s GIT during preparation</w:t>
      </w:r>
      <w:r>
        <w:t xml:space="preserve"> </w:t>
      </w:r>
      <w:r>
        <w:t xml:space="preserve">to avoid ingestion, use fishing gear made from durable or natural</w:t>
      </w:r>
      <w:r>
        <w:t xml:space="preserve"> </w:t>
      </w:r>
      <w:r>
        <w:t xml:space="preserve">materials, regularly maintain and replace worn equipment, and properly</w:t>
      </w:r>
      <w:r>
        <w:t xml:space="preserve"> </w:t>
      </w:r>
      <w:r>
        <w:t xml:space="preserve">dispose of plastics instead of discarding them into water bodies.</w:t>
      </w:r>
    </w:p>
    <w:p>
      <w:pPr>
        <w:pStyle w:val="BodyText"/>
      </w:pPr>
      <w:r>
        <w:rPr>
          <w:bCs/>
          <w:b/>
        </w:rPr>
        <w:t xml:space="preserve">VM10 · 277 words · 0 hedges · 0.0 per 100 words</w:t>
      </w:r>
    </w:p>
    <w:p>
      <w:pPr>
        <w:pStyle w:val="BodyText"/>
      </w:pPr>
      <w:r>
        <w:t xml:space="preserve">This study assessed the existence and antibiotic resistance</w:t>
      </w:r>
      <w:r>
        <w:t xml:space="preserve"> </w:t>
      </w:r>
      <w:r>
        <w:t xml:space="preserve">characteristic of Escherichia coli from poultry farms in Central Luzon</w:t>
      </w:r>
      <w:r>
        <w:t xml:space="preserve"> </w:t>
      </w:r>
      <w:r>
        <w:t xml:space="preserve">using Regional Animal Disease Diagnostic Laboratory (RADDL) III data for</w:t>
      </w:r>
      <w:r>
        <w:t xml:space="preserve"> </w:t>
      </w:r>
      <w:r>
        <w:t xml:space="preserve">2022 to 2023. This study targeted the profiling of Escherichia coli</w:t>
      </w:r>
      <w:r>
        <w:t xml:space="preserve"> </w:t>
      </w:r>
      <w:r>
        <w:t xml:space="preserve">bacteria isolates according to year, province, and type of sample. Also,</w:t>
      </w:r>
      <w:r>
        <w:t xml:space="preserve"> </w:t>
      </w:r>
      <w:r>
        <w:t xml:space="preserve">it checked susceptibility to different antibiotics of Escherichia</w:t>
      </w:r>
      <w:r>
        <w:t xml:space="preserve"> </w:t>
      </w:r>
      <w:r>
        <w:t xml:space="preserve">coli-positive poultry samples. The association of the antibiotic</w:t>
      </w:r>
      <w:r>
        <w:t xml:space="preserve"> </w:t>
      </w:r>
      <w:r>
        <w:t xml:space="preserve">susceptibility tests with years and provinces was also calculated. The</w:t>
      </w:r>
      <w:r>
        <w:t xml:space="preserve"> </w:t>
      </w:r>
      <w:r>
        <w:t xml:space="preserve">study results showed that the susceptibility of heart samples was ended</w:t>
      </w:r>
      <w:r>
        <w:t xml:space="preserve"> </w:t>
      </w:r>
      <w:r>
        <w:t xml:space="preserve">with 100% to amikacin, ceftazidime, cefotaxime, chloramphenicol,</w:t>
      </w:r>
      <w:r>
        <w:t xml:space="preserve"> </w:t>
      </w:r>
      <w:r>
        <w:t xml:space="preserve">ciprofloxacin, gentamicin, imipenem, and meropenem. On the other hand,</w:t>
      </w:r>
      <w:r>
        <w:t xml:space="preserve"> </w:t>
      </w:r>
      <w:r>
        <w:t xml:space="preserve">reduced susceptibility was observed for trimethoprim-sulfamethoxazole</w:t>
      </w:r>
      <w:r>
        <w:t xml:space="preserve"> </w:t>
      </w:r>
      <w:r>
        <w:t xml:space="preserve">and tetracycline 50% in each.</w:t>
      </w:r>
      <w:r>
        <w:t xml:space="preserve"> </w:t>
      </w:r>
      <w:r>
        <w:rPr>
          <w:bCs/>
          <w:b/>
        </w:rPr>
        <w:t xml:space="preserve">In general, lung samples were sensitive</w:t>
      </w:r>
      <w:r>
        <w:rPr>
          <w:bCs/>
          <w:b/>
        </w:rPr>
        <w:t xml:space="preserve"> </w:t>
      </w:r>
      <w:r>
        <w:rPr>
          <w:bCs/>
          <w:b/>
        </w:rPr>
        <w:t xml:space="preserve">to all antibiotics except amoxicillin-clavulanic acid [G]</w:t>
      </w:r>
      <w:r>
        <w:t xml:space="preserve">. However,</w:t>
      </w:r>
      <w:r>
        <w:t xml:space="preserve"> </w:t>
      </w:r>
      <w:r>
        <w:t xml:space="preserve">liver samples were 100% susceptible to amikacin, cefotaxime,</w:t>
      </w:r>
      <w:r>
        <w:t xml:space="preserve"> </w:t>
      </w:r>
      <w:r>
        <w:t xml:space="preserve">ceftazidime, ceftiofur, chloramphenicol gentamicin, imipenem, and</w:t>
      </w:r>
      <w:r>
        <w:t xml:space="preserve"> </w:t>
      </w:r>
      <w:r>
        <w:t xml:space="preserve">meropenem. Nasal swabs were 100% susceptible to ceftiofur and</w:t>
      </w:r>
      <w:r>
        <w:t xml:space="preserve"> </w:t>
      </w:r>
      <w:r>
        <w:t xml:space="preserve">florfenicol, with a lower susceptibility for amoxicillin-clavulanic acid</w:t>
      </w:r>
      <w:r>
        <w:t xml:space="preserve"> </w:t>
      </w:r>
      <w:r>
        <w:t xml:space="preserve">at 50% and then amoxicillin only 33%. Tracheal swabs showed 100%</w:t>
      </w:r>
      <w:r>
        <w:t xml:space="preserve"> </w:t>
      </w:r>
      <w:r>
        <w:t xml:space="preserve">susceptibility for amikacin, ceftazidime, cefotaxime chloramphenicol,</w:t>
      </w:r>
      <w:r>
        <w:t xml:space="preserve"> </w:t>
      </w:r>
      <w:r>
        <w:t xml:space="preserve">gentamicin, imipenem, and meropenem. Nonetheless, they only were 50%</w:t>
      </w:r>
      <w:r>
        <w:t xml:space="preserve"> </w:t>
      </w:r>
      <w:r>
        <w:t xml:space="preserve">sensitive to trimethoprim-sulfamethoxazole and tetracycline. Chick</w:t>
      </w:r>
      <w:r>
        <w:t xml:space="preserve"> </w:t>
      </w:r>
      <w:r>
        <w:t xml:space="preserve">samples had different susceptibility meropenem, experienced as the most</w:t>
      </w:r>
      <w:r>
        <w:t xml:space="preserve"> </w:t>
      </w:r>
      <w:r>
        <w:t xml:space="preserve">susceptible antibiotic (87%) and sulfamethoxazole / trimethoprim, while</w:t>
      </w:r>
      <w:r>
        <w:t xml:space="preserve"> </w:t>
      </w:r>
      <w:r>
        <w:t xml:space="preserve">sulfamethoxazole was 25%. In contrast,</w:t>
      </w:r>
      <w:r>
        <w:t xml:space="preserve"> </w:t>
      </w:r>
      <w:r>
        <w:rPr>
          <w:bCs/>
          <w:b/>
        </w:rPr>
        <w:t xml:space="preserve">the data showed that lung and</w:t>
      </w:r>
      <w:r>
        <w:rPr>
          <w:bCs/>
          <w:b/>
        </w:rPr>
        <w:t xml:space="preserve"> </w:t>
      </w:r>
      <w:r>
        <w:rPr>
          <w:bCs/>
          <w:b/>
        </w:rPr>
        <w:t xml:space="preserve">chick samples exhibited marked resistance [R]</w:t>
      </w:r>
      <w:r>
        <w:t xml:space="preserve">. In the lung samples,</w:t>
      </w:r>
      <w:r>
        <w:t xml:space="preserve"> </w:t>
      </w:r>
      <w:r>
        <w:t xml:space="preserve">resistance was observed to all tested antibiotics, and only a few were</w:t>
      </w:r>
      <w:r>
        <w:t xml:space="preserve"> </w:t>
      </w:r>
      <w:r>
        <w:t xml:space="preserve">susceptible to them, while chick specimens with high resistances were</w:t>
      </w:r>
      <w:r>
        <w:t xml:space="preserve"> </w:t>
      </w:r>
      <w:r>
        <w:t xml:space="preserve">found against ceftazidime, chloramphenicol, ciprofloxacin, and</w:t>
      </w:r>
      <w:r>
        <w:t xml:space="preserve"> </w:t>
      </w:r>
      <w:r>
        <w:t xml:space="preserve">tetracycline. Also, nasal swabs were highly resistant to multiple</w:t>
      </w:r>
      <w:r>
        <w:t xml:space="preserve"> </w:t>
      </w:r>
      <w:r>
        <w:t xml:space="preserve">antibiotics. The lung samples were resistant to all antibiotics, apart</w:t>
      </w:r>
      <w:r>
        <w:t xml:space="preserve"> </w:t>
      </w:r>
      <w:r>
        <w:t xml:space="preserve">from meropenem and streptomycin.</w:t>
      </w:r>
    </w:p>
    <w:p>
      <w:pPr>
        <w:pStyle w:val="BodyText"/>
      </w:pPr>
      <w:r>
        <w:rPr>
          <w:bCs/>
          <w:b/>
        </w:rPr>
        <w:t xml:space="preserve">VM11 · 236 words · 0 hedges · 0.0 per 100 words</w:t>
      </w:r>
    </w:p>
    <w:p>
      <w:pPr>
        <w:pStyle w:val="BodyText"/>
      </w:pPr>
      <w:r>
        <w:t xml:space="preserve">This study was conducted to help determine the overall health of stray</w:t>
      </w:r>
      <w:r>
        <w:t xml:space="preserve"> </w:t>
      </w:r>
      <w:r>
        <w:t xml:space="preserve">cats within the vicinity of Dr. Andres M. Luciano District Hospital,</w:t>
      </w:r>
      <w:r>
        <w:t xml:space="preserve"> </w:t>
      </w:r>
      <w:r>
        <w:t xml:space="preserve">Magalang, Pampanga, based on their hematological profiles. All 16 cats</w:t>
      </w:r>
      <w:r>
        <w:t xml:space="preserve"> </w:t>
      </w:r>
      <w:r>
        <w:t xml:space="preserve">that were captured, regardless of age and sex, were included in this</w:t>
      </w:r>
      <w:r>
        <w:t xml:space="preserve"> </w:t>
      </w:r>
      <w:r>
        <w:t xml:space="preserve">study. The stray cats’ hematological profiles were compared to normal</w:t>
      </w:r>
      <w:r>
        <w:t xml:space="preserve"> </w:t>
      </w:r>
      <w:r>
        <w:t xml:space="preserve">parameters to assess their health status and whether they had the</w:t>
      </w:r>
      <w:r>
        <w:t xml:space="preserve"> </w:t>
      </w:r>
      <w:r>
        <w:rPr>
          <w:strike/>
          <w:bCs/>
          <w:b/>
        </w:rPr>
        <w:t xml:space="preserve">possibility</w:t>
      </w:r>
      <w:r>
        <w:t xml:space="preserve"> </w:t>
      </w:r>
      <w:r>
        <w:t xml:space="preserve">(FP-Gen) of any underlying diseases based on the</w:t>
      </w:r>
      <w:r>
        <w:t xml:space="preserve"> </w:t>
      </w:r>
      <w:r>
        <w:t xml:space="preserve">blood profiling. The results were also used to determine the stray cat’s</w:t>
      </w:r>
      <w:r>
        <w:t xml:space="preserve"> </w:t>
      </w:r>
      <w:r>
        <w:t xml:space="preserve">eligibility to undergo surgery for the trap, neuter, vaccinate, and</w:t>
      </w:r>
      <w:r>
        <w:t xml:space="preserve"> </w:t>
      </w:r>
      <w:r>
        <w:t xml:space="preserve">release (TNVR) program. Blood profiling results showed that red blood</w:t>
      </w:r>
      <w:r>
        <w:t xml:space="preserve"> </w:t>
      </w:r>
      <w:r>
        <w:t xml:space="preserve">cell indices such as RBC count, hemoglobin, hematocrit, MCV and MCHC all</w:t>
      </w:r>
      <w:r>
        <w:t xml:space="preserve"> </w:t>
      </w:r>
      <w:r>
        <w:t xml:space="preserve">fell within normal ranges, however MCH was notably below normal ranges</w:t>
      </w:r>
      <w:r>
        <w:t xml:space="preserve"> </w:t>
      </w:r>
      <w:r>
        <w:t xml:space="preserve">(mean=16.81; reference = 25.8-34), platelet (PLT) count was markedly</w:t>
      </w:r>
      <w:r>
        <w:t xml:space="preserve"> </w:t>
      </w:r>
      <w:r>
        <w:t xml:space="preserve">below the normal range, with a mean value of 75.8 compared to the normal</w:t>
      </w:r>
      <w:r>
        <w:t xml:space="preserve"> </w:t>
      </w:r>
      <w:r>
        <w:t xml:space="preserve">reference range of 300 to 800. White blood cells, lymphocytes, and</w:t>
      </w:r>
      <w:r>
        <w:t xml:space="preserve"> </w:t>
      </w:r>
      <w:r>
        <w:t xml:space="preserve">monocytes were within normal ranges. However, granulocytes exceeded the</w:t>
      </w:r>
      <w:r>
        <w:t xml:space="preserve"> </w:t>
      </w:r>
      <w:r>
        <w:t xml:space="preserve">normal range (mean=9.71; reference =2-8), and the percentages of</w:t>
      </w:r>
      <w:r>
        <w:t xml:space="preserve"> </w:t>
      </w:r>
      <w:r>
        <w:t xml:space="preserve">lymphocytes, monocytes, and granulocytes all remained within normal</w:t>
      </w:r>
      <w:r>
        <w:t xml:space="preserve"> </w:t>
      </w:r>
      <w:r>
        <w:t xml:space="preserve">limits. Blood urea nitrogen and creatinine were within normal limits;</w:t>
      </w:r>
      <w:r>
        <w:t xml:space="preserve"> </w:t>
      </w:r>
      <w:r>
        <w:t xml:space="preserve">however, ALT and AST were both above normal (ALT mean = 105.88,</w:t>
      </w:r>
      <w:r>
        <w:t xml:space="preserve"> </w:t>
      </w:r>
      <w:r>
        <w:t xml:space="preserve">reference= 20 to 100, AST mean 46.96; reference 7-38). All captured cats</w:t>
      </w:r>
      <w:r>
        <w:t xml:space="preserve"> </w:t>
      </w:r>
      <w:r>
        <w:t xml:space="preserve">were deemed eligible for the trap, neuter, vaccinate, and release (TNVR)</w:t>
      </w:r>
      <w:r>
        <w:t xml:space="preserve"> </w:t>
      </w:r>
      <w:r>
        <w:t xml:space="preserve">program.</w:t>
      </w:r>
    </w:p>
    <w:p>
      <w:pPr>
        <w:pStyle w:val="BodyText"/>
      </w:pPr>
      <w:r>
        <w:rPr>
          <w:bCs/>
          <w:b/>
        </w:rPr>
        <w:t xml:space="preserve">VM12 · 182 words · 1 hedges · 0.55 per 100 words</w:t>
      </w:r>
    </w:p>
    <w:p>
      <w:pPr>
        <w:pStyle w:val="BodyText"/>
      </w:pPr>
      <w:r>
        <w:t xml:space="preserve">The African swine fever (ASF) is an ongoing global disease of swine</w:t>
      </w:r>
      <w:r>
        <w:t xml:space="preserve"> </w:t>
      </w:r>
      <w:r>
        <w:t xml:space="preserve">presenting clinical signs similar to hog cholera and causing significant</w:t>
      </w:r>
      <w:r>
        <w:t xml:space="preserve"> </w:t>
      </w:r>
      <w:r>
        <w:t xml:space="preserve">socioeconomic problems. Studies on the detection of ASF virus focus on</w:t>
      </w:r>
      <w:r>
        <w:t xml:space="preserve"> </w:t>
      </w:r>
      <w:r>
        <w:t xml:space="preserve">using viremic blood and lymph tissues from infected pigs at the farm</w:t>
      </w:r>
      <w:r>
        <w:t xml:space="preserve"> </w:t>
      </w:r>
      <w:r>
        <w:t xml:space="preserve">level. Hence, this study aimed to detect ASF virus from suspected pork</w:t>
      </w:r>
      <w:r>
        <w:t xml:space="preserve"> </w:t>
      </w:r>
      <w:r>
        <w:t xml:space="preserve">samples from meat retail stores in selected areas of Magalang, Pampanga</w:t>
      </w:r>
      <w:r>
        <w:t xml:space="preserve"> </w:t>
      </w:r>
      <w:r>
        <w:t xml:space="preserve">using a survey questionnaire and molecular diagnostic methods. Profiling</w:t>
      </w:r>
      <w:r>
        <w:t xml:space="preserve"> </w:t>
      </w:r>
      <w:r>
        <w:t xml:space="preserve">of meat retail vendors revealed that commercial farms and public markets</w:t>
      </w:r>
      <w:r>
        <w:t xml:space="preserve"> </w:t>
      </w:r>
      <w:r>
        <w:t xml:space="preserve">were their principal sources of meat. PCR assay showed that no sample</w:t>
      </w:r>
      <w:r>
        <w:t xml:space="preserve"> </w:t>
      </w:r>
      <w:r>
        <w:t xml:space="preserve">tested positive for ASF. The result of collective community and</w:t>
      </w:r>
      <w:r>
        <w:t xml:space="preserve"> </w:t>
      </w:r>
      <w:r>
        <w:t xml:space="preserve">government efforts</w:t>
      </w:r>
      <w:r>
        <w:t xml:space="preserve"> </w:t>
      </w:r>
      <w:r>
        <w:rPr>
          <w:bCs/>
          <w:b/>
        </w:rPr>
        <w:t xml:space="preserve">might (EC)</w:t>
      </w:r>
      <w:r>
        <w:t xml:space="preserve"> </w:t>
      </w:r>
      <w:r>
        <w:t xml:space="preserve">be effective in preventing,</w:t>
      </w:r>
      <w:r>
        <w:t xml:space="preserve"> </w:t>
      </w:r>
      <w:r>
        <w:t xml:space="preserve">controlling, and managing the spread of ASF, but it is not conclusive</w:t>
      </w:r>
      <w:r>
        <w:t xml:space="preserve"> </w:t>
      </w:r>
      <w:r>
        <w:t xml:space="preserve">that ASF is not present in the municipality of Magalang. Nevertheless,</w:t>
      </w:r>
      <w:r>
        <w:t xml:space="preserve"> </w:t>
      </w:r>
      <w:r>
        <w:t xml:space="preserve">it is</w:t>
      </w:r>
      <w:r>
        <w:t xml:space="preserve"> </w:t>
      </w:r>
      <w:r>
        <w:rPr>
          <w:strike/>
          <w:bCs/>
          <w:b/>
        </w:rPr>
        <w:t xml:space="preserve">recommended</w:t>
      </w:r>
      <w:r>
        <w:t xml:space="preserve"> </w:t>
      </w:r>
      <w:r>
        <w:t xml:space="preserve">(FP-Rec) to consider monitoring and</w:t>
      </w:r>
      <w:r>
        <w:t xml:space="preserve"> </w:t>
      </w:r>
      <w:r>
        <w:t xml:space="preserve">surveillance of ASF at the market level, and maintain and continue the</w:t>
      </w:r>
      <w:r>
        <w:t xml:space="preserve"> </w:t>
      </w:r>
      <w:r>
        <w:t xml:space="preserve">strict implementation of collaborative efforts to effectively and</w:t>
      </w:r>
      <w:r>
        <w:t xml:space="preserve"> </w:t>
      </w:r>
      <w:r>
        <w:t xml:space="preserve">efficiently prevent and control the further entry and spread of ASF from</w:t>
      </w:r>
      <w:r>
        <w:t xml:space="preserve"> </w:t>
      </w:r>
      <w:r>
        <w:t xml:space="preserve">farm to farm.</w:t>
      </w:r>
    </w:p>
    <w:p>
      <w:pPr>
        <w:pStyle w:val="BodyText"/>
      </w:pPr>
      <w:r>
        <w:rPr>
          <w:bCs/>
          <w:b/>
        </w:rPr>
        <w:t xml:space="preserve">VM13 · 215 words · 0 hedges · 0.0 per 100 words</w:t>
      </w:r>
    </w:p>
    <w:p>
      <w:pPr>
        <w:pStyle w:val="BodyText"/>
      </w:pPr>
      <w:r>
        <w:t xml:space="preserve">Humans and animals have historically utilized immunoglobulin Y (IgY),</w:t>
      </w:r>
      <w:r>
        <w:t xml:space="preserve"> </w:t>
      </w:r>
      <w:r>
        <w:t xml:space="preserve">the most common kind of immunoglobulin generated by B cells in avian</w:t>
      </w:r>
      <w:r>
        <w:t xml:space="preserve"> </w:t>
      </w:r>
      <w:r>
        <w:t xml:space="preserve">species, as a therapeutic treatment for passive immunity. This study was</w:t>
      </w:r>
      <w:r>
        <w:t xml:space="preserve"> </w:t>
      </w:r>
      <w:r>
        <w:t xml:space="preserve">conducted to determine the immunogenicity of freeze-dried egg yolk</w:t>
      </w:r>
      <w:r>
        <w:t xml:space="preserve"> </w:t>
      </w:r>
      <w:r>
        <w:t xml:space="preserve">against canine parvoviral enteritis. Primodog® (Merial) is a monovalent,</w:t>
      </w:r>
      <w:r>
        <w:t xml:space="preserve"> </w:t>
      </w:r>
      <w:r>
        <w:t xml:space="preserve">attenuated canine parvovirus vaccine administered intramuscularly to</w:t>
      </w:r>
      <w:r>
        <w:t xml:space="preserve"> </w:t>
      </w:r>
      <w:r>
        <w:t xml:space="preserve">three white Leghorn chickens. For a total of five weeks of immunization,</w:t>
      </w:r>
      <w:r>
        <w:t xml:space="preserve"> </w:t>
      </w:r>
      <w:r>
        <w:t xml:space="preserve">0.5 ml of the initial dose per bird and four further doses—each</w:t>
      </w:r>
      <w:r>
        <w:t xml:space="preserve"> </w:t>
      </w:r>
      <w:r>
        <w:t xml:space="preserve">lowered to 0.25 ml—were given at weekly intervals. As described in the</w:t>
      </w:r>
      <w:r>
        <w:t xml:space="preserve"> </w:t>
      </w:r>
      <w:r>
        <w:t xml:space="preserve">Hodek et al. (2013) protocol, a two-step, labor- and cost-efficient</w:t>
      </w:r>
      <w:r>
        <w:t xml:space="preserve"> </w:t>
      </w:r>
      <w:r>
        <w:t xml:space="preserve">process that involves extracting yolks using tap water then</w:t>
      </w:r>
      <w:r>
        <w:t xml:space="preserve"> </w:t>
      </w:r>
      <w:r>
        <w:t xml:space="preserve">precipitating specific IgY at pH 4 until the final concentration reaches</w:t>
      </w:r>
      <w:r>
        <w:t xml:space="preserve"> </w:t>
      </w:r>
      <w:r>
        <w:t xml:space="preserve">8.8% with sodium chloride was used to isolate IgY from the</w:t>
      </w:r>
      <w:r>
        <w:t xml:space="preserve"> </w:t>
      </w:r>
      <w:r>
        <w:t xml:space="preserve">hyperimmunized egg yolks. Isolated IgY were freeze-dried and the</w:t>
      </w:r>
      <w:r>
        <w:t xml:space="preserve"> </w:t>
      </w:r>
      <w:r>
        <w:t xml:space="preserve">products' immunogenicity was assessed using sandwich ELISA testing. The</w:t>
      </w:r>
      <w:r>
        <w:t xml:space="preserve"> </w:t>
      </w:r>
      <w:r>
        <w:t xml:space="preserve">data gathered demonstrated the concentration of IgY specific to the</w:t>
      </w:r>
      <w:r>
        <w:t xml:space="preserve"> </w:t>
      </w:r>
      <w:r>
        <w:t xml:space="preserve">canine parvovirus (CPV) following five weeks of immunization and freeze</w:t>
      </w:r>
      <w:r>
        <w:t xml:space="preserve"> </w:t>
      </w:r>
      <w:r>
        <w:t xml:space="preserve">drying. The first week of immunization had the highest measured titer</w:t>
      </w:r>
      <w:r>
        <w:t xml:space="preserve"> </w:t>
      </w:r>
      <w:r>
        <w:t xml:space="preserve">with a mean of 0.796. One way ANOVA was used and</w:t>
      </w:r>
      <w:r>
        <w:t xml:space="preserve"> </w:t>
      </w:r>
      <w:r>
        <w:rPr>
          <w:bCs/>
          <w:b/>
        </w:rPr>
        <w:t xml:space="preserve">the differences</w:t>
      </w:r>
      <w:r>
        <w:rPr>
          <w:bCs/>
          <w:b/>
        </w:rPr>
        <w:t xml:space="preserve"> </w:t>
      </w:r>
      <w:r>
        <w:rPr>
          <w:bCs/>
          <w:b/>
        </w:rPr>
        <w:t xml:space="preserve">between the groups were statistically significant [R]</w:t>
      </w:r>
      <w:r>
        <w:t xml:space="preserve">. There were</w:t>
      </w:r>
      <w:r>
        <w:t xml:space="preserve"> </w:t>
      </w:r>
      <w:r>
        <w:t xml:space="preserve">variations in the mean antibody titer measured among samples.</w:t>
      </w:r>
    </w:p>
    <w:p>
      <w:pPr>
        <w:pStyle w:val="BodyText"/>
      </w:pPr>
      <w:r>
        <w:rPr>
          <w:bCs/>
          <w:b/>
        </w:rPr>
        <w:t xml:space="preserve">VM14 · 183 words · 0 hedges · 0.0 per 100 words</w:t>
      </w:r>
    </w:p>
    <w:p>
      <w:pPr>
        <w:pStyle w:val="BodyText"/>
      </w:pPr>
      <w:r>
        <w:t xml:space="preserve">Companion animals play vital roles in enhancing human well-being but</w:t>
      </w:r>
      <w:r>
        <w:t xml:space="preserve"> </w:t>
      </w:r>
      <w:r>
        <w:t xml:space="preserve">remain vulnerable to a range of toxicants including household products,</w:t>
      </w:r>
      <w:r>
        <w:t xml:space="preserve"> </w:t>
      </w:r>
      <w:r>
        <w:t xml:space="preserve">medications, food items, and ornamental plants. This study assessed the</w:t>
      </w:r>
      <w:r>
        <w:t xml:space="preserve"> </w:t>
      </w:r>
      <w:r>
        <w:t xml:space="preserve">level of awareness among students of Pampanga State Agricultural</w:t>
      </w:r>
      <w:r>
        <w:t xml:space="preserve"> </w:t>
      </w:r>
      <w:r>
        <w:t xml:space="preserve">University (PSAU) regarding common toxicants affecting companion</w:t>
      </w:r>
      <w:r>
        <w:t xml:space="preserve"> </w:t>
      </w:r>
      <w:r>
        <w:t xml:space="preserve">animals. Using a cross-sectional, descriptive design, a structured</w:t>
      </w:r>
      <w:r>
        <w:t xml:space="preserve"> </w:t>
      </w:r>
      <w:r>
        <w:t xml:space="preserve">questionnaire was distributed to a stratified random sample of 393</w:t>
      </w:r>
      <w:r>
        <w:t xml:space="preserve"> </w:t>
      </w:r>
      <w:r>
        <w:t xml:space="preserve">students. The instrument focused on awareness of specific toxicants,</w:t>
      </w:r>
      <w:r>
        <w:t xml:space="preserve"> </w:t>
      </w:r>
      <w:r>
        <w:t xml:space="preserve">personal experiences, and sources of information. Findings revealed that</w:t>
      </w:r>
      <w:r>
        <w:t xml:space="preserve"> </w:t>
      </w:r>
      <w:r>
        <w:t xml:space="preserve">while chocolate (87.28%) and alcoholic beverages (59.79%) were widely</w:t>
      </w:r>
      <w:r>
        <w:t xml:space="preserve"> </w:t>
      </w:r>
      <w:r>
        <w:t xml:space="preserve">recognized as toxic, awareness of plant-based toxicants such as</w:t>
      </w:r>
      <w:r>
        <w:t xml:space="preserve"> </w:t>
      </w:r>
      <w:r>
        <w:t xml:space="preserve">Philippine lily (18.06%) and avocado (23.41%) was limited. Majority of</w:t>
      </w:r>
      <w:r>
        <w:t xml:space="preserve"> </w:t>
      </w:r>
      <w:r>
        <w:t xml:space="preserve">respondents (42.5%) demonstrated only slight awareness, and 65.14%</w:t>
      </w:r>
      <w:r>
        <w:t xml:space="preserve"> </w:t>
      </w:r>
      <w:r>
        <w:t xml:space="preserve">reported previous unintentional exposure of pets to toxicants—most</w:t>
      </w:r>
      <w:r>
        <w:t xml:space="preserve"> </w:t>
      </w:r>
      <w:r>
        <w:t xml:space="preserve">commonly garlic. Chi-square analysis revealed significant associations</w:t>
      </w:r>
      <w:r>
        <w:t xml:space="preserve"> </w:t>
      </w:r>
      <w:r>
        <w:t xml:space="preserve">between course of study, pet ownership, and source of information with</w:t>
      </w:r>
      <w:r>
        <w:t xml:space="preserve"> </w:t>
      </w:r>
      <w:r>
        <w:t xml:space="preserve">awareness levels. Multiple regression analysis</w:t>
      </w:r>
      <w:r>
        <w:t xml:space="preserve"> </w:t>
      </w:r>
      <w:r>
        <w:rPr>
          <w:strike/>
          <w:bCs/>
          <w:b/>
        </w:rPr>
        <w:t xml:space="preserve">indicated</w:t>
      </w:r>
      <w:r>
        <w:t xml:space="preserve"> </w:t>
      </w:r>
      <w:r>
        <w:t xml:space="preserve">(FP-Gen) that knowledge significantly predicted self-assessed awareness,</w:t>
      </w:r>
      <w:r>
        <w:t xml:space="preserve"> </w:t>
      </w:r>
      <w:r>
        <w:t xml:space="preserve">while personal experience did not. The findings highlight critical</w:t>
      </w:r>
      <w:r>
        <w:t xml:space="preserve"> </w:t>
      </w:r>
      <w:r>
        <w:t xml:space="preserve">knowledge gaps and underscore the need for targeted educational</w:t>
      </w:r>
      <w:r>
        <w:t xml:space="preserve"> </w:t>
      </w:r>
      <w:r>
        <w:t xml:space="preserve">interventions using accessible media such as social platforms.</w:t>
      </w:r>
    </w:p>
    <w:p>
      <w:pPr>
        <w:pStyle w:val="BodyText"/>
      </w:pPr>
      <w:r>
        <w:rPr>
          <w:bCs/>
          <w:b/>
        </w:rPr>
        <w:t xml:space="preserve">VM15 · 258 words · 1 hedges · 0.39 per 100 words</w:t>
      </w:r>
    </w:p>
    <w:p>
      <w:pPr>
        <w:pStyle w:val="BodyText"/>
      </w:pPr>
      <w:r>
        <w:t xml:space="preserve">The study assessed the anti-cancer and anti-angiogenic properties of the</w:t>
      </w:r>
      <w:r>
        <w:t xml:space="preserve"> </w:t>
      </w:r>
      <w:r>
        <w:t xml:space="preserve">different varieties of mulberry (Morus alba L.), namely, var. S54, var.</w:t>
      </w:r>
      <w:r>
        <w:t xml:space="preserve"> </w:t>
      </w:r>
      <w:r>
        <w:t xml:space="preserve">Alfonso and var. Batac leaves crude extract. It also determined the</w:t>
      </w:r>
      <w:r>
        <w:t xml:space="preserve"> </w:t>
      </w:r>
      <w:r>
        <w:t xml:space="preserve">lethal dosage (LD50) and the percent reduction in the mean number of</w:t>
      </w:r>
      <w:r>
        <w:t xml:space="preserve"> </w:t>
      </w:r>
      <w:r>
        <w:t xml:space="preserve">blood vessel branching points in the eggs treated with different Morus</w:t>
      </w:r>
      <w:r>
        <w:t xml:space="preserve"> </w:t>
      </w:r>
      <w:r>
        <w:t xml:space="preserve">alba L. leaf extracts. The anti-cancer</w:t>
      </w:r>
      <w:r>
        <w:t xml:space="preserve"> </w:t>
      </w:r>
      <w:r>
        <w:rPr>
          <w:strike/>
          <w:bCs/>
          <w:b/>
        </w:rPr>
        <w:t xml:space="preserve">potential</w:t>
      </w:r>
      <w:r>
        <w:t xml:space="preserve"> </w:t>
      </w:r>
      <w:r>
        <w:t xml:space="preserve">(FP-Gen) of the</w:t>
      </w:r>
      <w:r>
        <w:t xml:space="preserve"> </w:t>
      </w:r>
      <w:r>
        <w:t xml:space="preserve">extract was determined using a brine shrimp lethality assay, and after</w:t>
      </w:r>
      <w:r>
        <w:t xml:space="preserve"> </w:t>
      </w:r>
      <w:r>
        <w:t xml:space="preserve">three and six hours of exposure, the surviving brine shrimps were</w:t>
      </w:r>
      <w:r>
        <w:t xml:space="preserve"> </w:t>
      </w:r>
      <w:r>
        <w:t xml:space="preserve">counted. The brine shrimp lethality (BSL) assay results revealed that</w:t>
      </w:r>
      <w:r>
        <w:t xml:space="preserve"> </w:t>
      </w:r>
      <w:r>
        <w:t xml:space="preserve">the degree of brine lethality was directly proportional to the</w:t>
      </w:r>
      <w:r>
        <w:t xml:space="preserve"> </w:t>
      </w:r>
      <w:r>
        <w:t xml:space="preserve">concentration of the different varieties (var. S54, Alfonso, and Batac)</w:t>
      </w:r>
      <w:r>
        <w:t xml:space="preserve"> </w:t>
      </w:r>
      <w:r>
        <w:t xml:space="preserve">of leaf crude extract. Maximum mortalities occurred at a concentration</w:t>
      </w:r>
      <w:r>
        <w:t xml:space="preserve"> </w:t>
      </w:r>
      <w:r>
        <w:t xml:space="preserve">of 100,000 parts per million (ppm), whereas the least mortalities were</w:t>
      </w:r>
      <w:r>
        <w:t xml:space="preserve"> </w:t>
      </w:r>
      <w:r>
        <w:t xml:space="preserve">at ten ppm. The lethality of the leaf extracts used to brine shrimps</w:t>
      </w:r>
      <w:r>
        <w:t xml:space="preserve"> </w:t>
      </w:r>
      <w:r>
        <w:t xml:space="preserve">proved the plant's anti-cancer activity. Moreover, a chorioallantoic</w:t>
      </w:r>
      <w:r>
        <w:t xml:space="preserve"> </w:t>
      </w:r>
      <w:r>
        <w:t xml:space="preserve">membrane (CAM) assay was used to test the anti-angiogenic property. The</w:t>
      </w:r>
      <w:r>
        <w:t xml:space="preserve"> </w:t>
      </w:r>
      <w:r>
        <w:t xml:space="preserve">assay results revealed positive angiogenic inhibitory effects when the</w:t>
      </w:r>
      <w:r>
        <w:t xml:space="preserve"> </w:t>
      </w:r>
      <w:r>
        <w:t xml:space="preserve">blood vessels formed in the eggs treated with leaf crude extract of S54,</w:t>
      </w:r>
      <w:r>
        <w:t xml:space="preserve"> </w:t>
      </w:r>
      <w:r>
        <w:t xml:space="preserve">Alfonso and Batac were reduced by 74.63%, 68.49%, and 68.02 %,</w:t>
      </w:r>
      <w:r>
        <w:t xml:space="preserve"> </w:t>
      </w:r>
      <w:r>
        <w:t xml:space="preserve">respectively, compared to the control group. Furthermore, the result of</w:t>
      </w:r>
      <w:r>
        <w:t xml:space="preserve"> </w:t>
      </w:r>
      <w:r>
        <w:t xml:space="preserve">the study</w:t>
      </w:r>
      <w:r>
        <w:t xml:space="preserve"> </w:t>
      </w:r>
      <w:r>
        <w:rPr>
          <w:bCs/>
          <w:b/>
        </w:rPr>
        <w:t xml:space="preserve">suggests (EC)</w:t>
      </w:r>
      <w:r>
        <w:t xml:space="preserve"> </w:t>
      </w:r>
      <w:r>
        <w:t xml:space="preserve">that var. S54 presented the most potent</w:t>
      </w:r>
      <w:r>
        <w:t xml:space="preserve"> </w:t>
      </w:r>
      <w:r>
        <w:t xml:space="preserve">anti-cancer and anti-angiogenic activity compared to the other varieties</w:t>
      </w:r>
      <w:r>
        <w:t xml:space="preserve"> </w:t>
      </w:r>
      <w:r>
        <w:t xml:space="preserve">(Alfonso and Batac). It had the highest mortality rate after 3 and 6</w:t>
      </w:r>
      <w:r>
        <w:t xml:space="preserve"> </w:t>
      </w:r>
      <w:r>
        <w:t xml:space="preserve">hours of exposure to the treatment and the highest recorded percentage</w:t>
      </w:r>
      <w:r>
        <w:t xml:space="preserve"> </w:t>
      </w:r>
      <w:r>
        <w:t xml:space="preserve">reduction (%) of 74.63.</w:t>
      </w:r>
    </w:p>
    <w:p>
      <w:pPr>
        <w:pStyle w:val="BodyText"/>
      </w:pPr>
      <w:r>
        <w:rPr>
          <w:bCs/>
          <w:b/>
        </w:rPr>
        <w:t xml:space="preserve">VM16 · 261 words · 0 hedges · 0.0 per 100 words</w:t>
      </w:r>
    </w:p>
    <w:p>
      <w:pPr>
        <w:pStyle w:val="BodyText"/>
      </w:pPr>
      <w:r>
        <w:t xml:space="preserve">Noni (Morinda citrifolia) is recognized to have a wide range of</w:t>
      </w:r>
      <w:r>
        <w:t xml:space="preserve"> </w:t>
      </w:r>
      <w:r>
        <w:t xml:space="preserve">therapeutic use including illnesses like inflammation, back pain,</w:t>
      </w:r>
      <w:r>
        <w:t xml:space="preserve"> </w:t>
      </w:r>
      <w:r>
        <w:t xml:space="preserve">diabetes, hypertension, cancer, joint problems, and skin allergies.</w:t>
      </w:r>
      <w:r>
        <w:t xml:space="preserve"> </w:t>
      </w:r>
      <w:r>
        <w:t xml:space="preserve">Adding to these arrays of claims, this study was conducted to determine</w:t>
      </w:r>
      <w:r>
        <w:t xml:space="preserve"> </w:t>
      </w:r>
      <w:r>
        <w:t xml:space="preserve">the wound healing efficacy of Noni fruit ethanolic extract and its</w:t>
      </w:r>
      <w:r>
        <w:t xml:space="preserve"> </w:t>
      </w:r>
      <w:r>
        <w:t xml:space="preserve">antimicrobial activity against Staphylococcus aureus strain ATCC 29213.</w:t>
      </w:r>
      <w:r>
        <w:t xml:space="preserve"> </w:t>
      </w:r>
      <w:r>
        <w:t xml:space="preserve">The agar well diffusion method was done to determine the concentration</w:t>
      </w:r>
      <w:r>
        <w:t xml:space="preserve"> </w:t>
      </w:r>
      <w:r>
        <w:t xml:space="preserve">of Noni ethanolic extract yielding the highest zone of inhibition. The</w:t>
      </w:r>
      <w:r>
        <w:t xml:space="preserve"> </w:t>
      </w:r>
      <w:r>
        <w:t xml:space="preserve">treatment were as follows: Treatment 1 (T1) with 40% concentration Noni</w:t>
      </w:r>
      <w:r>
        <w:t xml:space="preserve"> </w:t>
      </w:r>
      <w:r>
        <w:t xml:space="preserve">extract; Treatment 2 (T2) with 20% concentration noni extract; Treatment</w:t>
      </w:r>
      <w:r>
        <w:t xml:space="preserve"> </w:t>
      </w:r>
      <w:r>
        <w:t xml:space="preserve">3 (T3) with 10% concentration Noni extract; a positive control with 2%</w:t>
      </w:r>
      <w:r>
        <w:t xml:space="preserve"> </w:t>
      </w:r>
      <w:r>
        <w:t xml:space="preserve">Mupirocin; and a negative control with pure petroleum jelly.</w:t>
      </w:r>
      <w:r>
        <w:t xml:space="preserve"> </w:t>
      </w:r>
      <w:r>
        <w:rPr>
          <w:bCs/>
          <w:b/>
        </w:rPr>
        <w:t xml:space="preserve">Results</w:t>
      </w:r>
      <w:r>
        <w:rPr>
          <w:bCs/>
          <w:b/>
        </w:rPr>
        <w:t xml:space="preserve"> </w:t>
      </w:r>
      <w:r>
        <w:rPr>
          <w:bCs/>
          <w:b/>
        </w:rPr>
        <w:t xml:space="preserve">revealed that Treatment 3, with 40% concentration of Noni had the</w:t>
      </w:r>
      <w:r>
        <w:rPr>
          <w:bCs/>
          <w:b/>
        </w:rPr>
        <w:t xml:space="preserve"> </w:t>
      </w:r>
      <w:r>
        <w:rPr>
          <w:bCs/>
          <w:b/>
        </w:rPr>
        <w:t xml:space="preserve">highest zone of inhibition in vitro with comparable antibacterial</w:t>
      </w:r>
      <w:r>
        <w:rPr>
          <w:bCs/>
          <w:b/>
        </w:rPr>
        <w:t xml:space="preserve"> </w:t>
      </w:r>
      <w:r>
        <w:rPr>
          <w:bCs/>
          <w:b/>
        </w:rPr>
        <w:t xml:space="preserve">activity as the positive control against S. aureus [R]</w:t>
      </w:r>
      <w:r>
        <w:t xml:space="preserve">. The 40% Noni</w:t>
      </w:r>
      <w:r>
        <w:t xml:space="preserve"> </w:t>
      </w:r>
      <w:r>
        <w:t xml:space="preserve">concentration was used in the in vivo part of the experiment. A total of</w:t>
      </w:r>
      <w:r>
        <w:t xml:space="preserve"> </w:t>
      </w:r>
      <w:r>
        <w:t xml:space="preserve">nine male albino mice were used to test the antibacterial activity of</w:t>
      </w:r>
      <w:r>
        <w:t xml:space="preserve"> </w:t>
      </w:r>
      <w:r>
        <w:t xml:space="preserve">three different treatments given once a day for seven days. Treatment 1</w:t>
      </w:r>
      <w:r>
        <w:t xml:space="preserve"> </w:t>
      </w:r>
      <w:r>
        <w:t xml:space="preserve">was the 40% concentration of Noni ethanolic extract, T2 was the positive</w:t>
      </w:r>
      <w:r>
        <w:t xml:space="preserve"> </w:t>
      </w:r>
      <w:r>
        <w:t xml:space="preserve">control with 2% Mupirocin (Mupisaph®) and T3 was the negative control</w:t>
      </w:r>
      <w:r>
        <w:t xml:space="preserve"> </w:t>
      </w:r>
      <w:r>
        <w:t xml:space="preserve">with pure petroleum jelly. The results showed that applying 40% Noni</w:t>
      </w:r>
      <w:r>
        <w:t xml:space="preserve"> </w:t>
      </w:r>
      <w:r>
        <w:t xml:space="preserve">ethanolic extract and 2% Mupirocin ointment exhibited a faster wound</w:t>
      </w:r>
      <w:r>
        <w:t xml:space="preserve"> </w:t>
      </w:r>
      <w:r>
        <w:t xml:space="preserve">closure in vivo though not significantly different. With the in vitro</w:t>
      </w:r>
      <w:r>
        <w:t xml:space="preserve"> </w:t>
      </w:r>
      <w:r>
        <w:t xml:space="preserve">and in vivo results,</w:t>
      </w:r>
      <w:r>
        <w:t xml:space="preserve"> </w:t>
      </w:r>
      <w:r>
        <w:rPr>
          <w:bCs/>
          <w:b/>
        </w:rPr>
        <w:t xml:space="preserve">Noni fruit ethanolic extract with 40%</w:t>
      </w:r>
      <w:r>
        <w:rPr>
          <w:bCs/>
          <w:b/>
        </w:rPr>
        <w:t xml:space="preserve"> </w:t>
      </w:r>
      <w:r>
        <w:rPr>
          <w:bCs/>
          <w:b/>
        </w:rPr>
        <w:t xml:space="preserve">concentration has antibacterial property [G]</w:t>
      </w:r>
      <w:r>
        <w:t xml:space="preserve">.</w:t>
      </w:r>
    </w:p>
    <w:p>
      <w:pPr>
        <w:pStyle w:val="BodyText"/>
      </w:pPr>
      <w:r>
        <w:rPr>
          <w:bCs/>
          <w:b/>
        </w:rPr>
        <w:t xml:space="preserve">VM17 · 232 words · 1 hedges · 0.43 per 100 words</w:t>
      </w:r>
    </w:p>
    <w:p>
      <w:pPr>
        <w:pStyle w:val="BodyText"/>
      </w:pPr>
      <w:r>
        <w:t xml:space="preserve">This study examined the effect of utilizing butterfly pea flower aqueous</w:t>
      </w:r>
      <w:r>
        <w:t xml:space="preserve"> </w:t>
      </w:r>
      <w:r>
        <w:t xml:space="preserve">extract (BPFAE) on the survival rate and locomotor activity of zebrafish</w:t>
      </w:r>
      <w:r>
        <w:t xml:space="preserve"> </w:t>
      </w:r>
      <w:r>
        <w:t xml:space="preserve">larvae, as well as the water quality parameters. A total of 360 five-day</w:t>
      </w:r>
      <w:r>
        <w:t xml:space="preserve"> </w:t>
      </w:r>
      <w:r>
        <w:t xml:space="preserve">post-fertilization zebrafish larvae were randomly distributed into four</w:t>
      </w:r>
      <w:r>
        <w:t xml:space="preserve"> </w:t>
      </w:r>
      <w:r>
        <w:t xml:space="preserve">treatments— 0 parts per thousand (ppt) BPFAE, 5 ppt BPFAE, 10 ppt</w:t>
      </w:r>
      <w:r>
        <w:t xml:space="preserve"> </w:t>
      </w:r>
      <w:r>
        <w:t xml:space="preserve">BPFAE, and 15 ppt BPFAE, with three replicates each, following a</w:t>
      </w:r>
      <w:r>
        <w:t xml:space="preserve"> </w:t>
      </w:r>
      <w:r>
        <w:t xml:space="preserve">completely randomized design. The butterfly pea flower aqueous extract</w:t>
      </w:r>
      <w:r>
        <w:t xml:space="preserve"> </w:t>
      </w:r>
      <w:r>
        <w:t xml:space="preserve">was administered to test subjects for 17 days. The results were analyzed</w:t>
      </w:r>
      <w:r>
        <w:t xml:space="preserve"> </w:t>
      </w:r>
      <w:r>
        <w:t xml:space="preserve">using one-way analysis of variance (One-way ANOVA), P&lt;0.05. Significant</w:t>
      </w:r>
      <w:r>
        <w:t xml:space="preserve"> </w:t>
      </w:r>
      <w:r>
        <w:t xml:space="preserve">comparisons were subjected to Tukey HSD. The results revealed that 10</w:t>
      </w:r>
      <w:r>
        <w:t xml:space="preserve"> </w:t>
      </w:r>
      <w:r>
        <w:t xml:space="preserve">ppt BPFAE is the optimal inclusion level among all the treatments. This</w:t>
      </w:r>
      <w:r>
        <w:t xml:space="preserve"> </w:t>
      </w:r>
      <w:r>
        <w:t xml:space="preserve">concentration resulted in the highest survival rate (84.44%) as compared</w:t>
      </w:r>
      <w:r>
        <w:t xml:space="preserve"> </w:t>
      </w:r>
      <w:r>
        <w:t xml:space="preserve">to the other treatment groups — 0 ppt (65.55%), 5 ppt (62.22%), and 15</w:t>
      </w:r>
      <w:r>
        <w:t xml:space="preserve"> </w:t>
      </w:r>
      <w:r>
        <w:t xml:space="preserve">ppt (68.88%). Meanwhile, no significant effects on the locomotor</w:t>
      </w:r>
      <w:r>
        <w:t xml:space="preserve"> </w:t>
      </w:r>
      <w:r>
        <w:t xml:space="preserve">activities of zebrafish larvae were observed in any of the treatments.</w:t>
      </w:r>
      <w:r>
        <w:t xml:space="preserve"> </w:t>
      </w:r>
      <w:r>
        <w:t xml:space="preserve">However, notable reductions in water pH during the first week of</w:t>
      </w:r>
      <w:r>
        <w:t xml:space="preserve"> </w:t>
      </w:r>
      <w:r>
        <w:t xml:space="preserve">administration of treatments, and suboptimal dissolved oxygen</w:t>
      </w:r>
      <w:r>
        <w:t xml:space="preserve"> </w:t>
      </w:r>
      <w:r>
        <w:t xml:space="preserve">concentrations were observed. Additionally, minimal temperature changes</w:t>
      </w:r>
      <w:r>
        <w:t xml:space="preserve"> </w:t>
      </w:r>
      <w:r>
        <w:t xml:space="preserve">within the optimal range were recorded. Lastly, the levels of ammonia,</w:t>
      </w:r>
      <w:r>
        <w:t xml:space="preserve"> </w:t>
      </w:r>
      <w:r>
        <w:t xml:space="preserve">nitrite, and nitrate remained at zero throughout the duration of the</w:t>
      </w:r>
      <w:r>
        <w:t xml:space="preserve"> </w:t>
      </w:r>
      <w:r>
        <w:t xml:space="preserve">experiment. The results demonstrated the</w:t>
      </w:r>
      <w:r>
        <w:t xml:space="preserve"> </w:t>
      </w:r>
      <w:r>
        <w:rPr>
          <w:bCs/>
          <w:b/>
        </w:rPr>
        <w:t xml:space="preserve">potential (EC)</w:t>
      </w:r>
      <w:r>
        <w:t xml:space="preserve"> </w:t>
      </w:r>
      <w:r>
        <w:t xml:space="preserve">of butterfly</w:t>
      </w:r>
      <w:r>
        <w:t xml:space="preserve"> </w:t>
      </w:r>
      <w:r>
        <w:t xml:space="preserve">pea flower aqueous extract in improving the survival of zebrafish at its</w:t>
      </w:r>
      <w:r>
        <w:t xml:space="preserve"> </w:t>
      </w:r>
      <w:r>
        <w:t xml:space="preserve">larval stage.</w:t>
      </w:r>
    </w:p>
    <w:p>
      <w:pPr>
        <w:pStyle w:val="BodyText"/>
      </w:pPr>
      <w:r>
        <w:rPr>
          <w:bCs/>
          <w:b/>
        </w:rPr>
        <w:t xml:space="preserve">VM18 · 267 words · 0 hedges · 0.0 per 100 words</w:t>
      </w:r>
    </w:p>
    <w:p>
      <w:pPr>
        <w:pStyle w:val="BodyText"/>
      </w:pPr>
      <w:r>
        <w:t xml:space="preserve">Zoonotic diseases are a significant public health concern, particularly</w:t>
      </w:r>
      <w:r>
        <w:t xml:space="preserve"> </w:t>
      </w:r>
      <w:r>
        <w:t xml:space="preserve">those that</w:t>
      </w:r>
      <w:r>
        <w:t xml:space="preserve"> </w:t>
      </w:r>
      <w:r>
        <w:rPr>
          <w:strike/>
          <w:bCs/>
          <w:b/>
        </w:rPr>
        <w:t xml:space="preserve">can</w:t>
      </w:r>
      <w:r>
        <w:t xml:space="preserve"> </w:t>
      </w:r>
      <w:r>
        <w:t xml:space="preserve">(FP-Cap) be transmitted from dogs to humans. This</w:t>
      </w:r>
      <w:r>
        <w:t xml:space="preserve"> </w:t>
      </w:r>
      <w:r>
        <w:t xml:space="preserve">study determined the level of awareness among dog owners regarding</w:t>
      </w:r>
      <w:r>
        <w:t xml:space="preserve"> </w:t>
      </w:r>
      <w:r>
        <w:t xml:space="preserve">canine zoonotic diseases. Specifically, it (1) determined the</w:t>
      </w:r>
      <w:r>
        <w:t xml:space="preserve"> </w:t>
      </w:r>
      <w:r>
        <w:t xml:space="preserve">participants' sociodemographic profile, (2) identified their level of</w:t>
      </w:r>
      <w:r>
        <w:t xml:space="preserve"> </w:t>
      </w:r>
      <w:r>
        <w:t xml:space="preserve">awareness on selected zoonotic disease such as rabies, leptospirosis,</w:t>
      </w:r>
      <w:r>
        <w:t xml:space="preserve"> </w:t>
      </w:r>
      <w:r>
        <w:t xml:space="preserve">ancylostomiasis and toxocariasis, and dermatophytosis, (3) identified</w:t>
      </w:r>
      <w:r>
        <w:t xml:space="preserve"> </w:t>
      </w:r>
      <w:r>
        <w:t xml:space="preserve">the primary sources of information about zoonotic diseases, and (4)</w:t>
      </w:r>
      <w:r>
        <w:t xml:space="preserve"> </w:t>
      </w:r>
      <w:r>
        <w:t xml:space="preserve">determined whether there was a significant association between</w:t>
      </w:r>
      <w:r>
        <w:t xml:space="preserve"> </w:t>
      </w:r>
      <w:r>
        <w:t xml:space="preserve">sociodemographic variables and awareness on zoonoses. Data gathered from</w:t>
      </w:r>
      <w:r>
        <w:t xml:space="preserve"> </w:t>
      </w:r>
      <w:r>
        <w:t xml:space="preserve">a total of 86 dog owners visiting the selected veterinary clinics in</w:t>
      </w:r>
      <w:r>
        <w:t xml:space="preserve"> </w:t>
      </w:r>
      <w:r>
        <w:t xml:space="preserve">Mabalacat City, Pampanga, was subjected to descriptive statistics</w:t>
      </w:r>
      <w:r>
        <w:t xml:space="preserve"> </w:t>
      </w:r>
      <w:r>
        <w:t xml:space="preserve">(frequency distribution and weighted mean), while Pearson’s correlation</w:t>
      </w:r>
      <w:r>
        <w:t xml:space="preserve"> </w:t>
      </w:r>
      <w:r>
        <w:t xml:space="preserve">determined association between awareness on zoonotic diseases and the</w:t>
      </w:r>
      <w:r>
        <w:t xml:space="preserve"> </w:t>
      </w:r>
      <w:r>
        <w:t xml:space="preserve">sociodemographic factors. Results showed that participants were mostly</w:t>
      </w:r>
      <w:r>
        <w:t xml:space="preserve"> </w:t>
      </w:r>
      <w:r>
        <w:t xml:space="preserve">26 to 40 years old (43%), females (66.3%), college graduates (67.4%),</w:t>
      </w:r>
      <w:r>
        <w:t xml:space="preserve"> </w:t>
      </w:r>
      <w:r>
        <w:t xml:space="preserve">from lower middle-income families (54.7%), had owned dogs for more than</w:t>
      </w:r>
      <w:r>
        <w:t xml:space="preserve"> </w:t>
      </w:r>
      <w:r>
        <w:t xml:space="preserve">five years (46.5%), and were owners of at least one to two dogs (44.2%).</w:t>
      </w:r>
      <w:r>
        <w:t xml:space="preserve"> </w:t>
      </w:r>
      <w:r>
        <w:rPr>
          <w:bCs/>
          <w:b/>
        </w:rPr>
        <w:t xml:space="preserve">Participants exhibited an overall moderate level of awareness</w:t>
      </w:r>
      <w:r>
        <w:rPr>
          <w:bCs/>
          <w:b/>
        </w:rPr>
        <w:t xml:space="preserve"> </w:t>
      </w:r>
      <w:r>
        <w:rPr>
          <w:bCs/>
          <w:b/>
        </w:rPr>
        <w:t xml:space="preserve">(mean=3.30) on canine zoonotic diseases [R]</w:t>
      </w:r>
      <w:r>
        <w:t xml:space="preserve">. The dog owners were</w:t>
      </w:r>
      <w:r>
        <w:t xml:space="preserve"> </w:t>
      </w:r>
      <w:r>
        <w:t xml:space="preserve">very aware of rabies (mean=3.74) and leptospirosis (mean=3.73); while</w:t>
      </w:r>
      <w:r>
        <w:t xml:space="preserve"> </w:t>
      </w:r>
      <w:r>
        <w:t xml:space="preserve">moderate awareness was found on toxocariasis and ancylostomiasis</w:t>
      </w:r>
      <w:r>
        <w:t xml:space="preserve"> </w:t>
      </w:r>
      <w:r>
        <w:t xml:space="preserve">(mean=3.01), scabies (mean=3.05), and dermatophytosis (mean=2.96), The</w:t>
      </w:r>
      <w:r>
        <w:t xml:space="preserve"> </w:t>
      </w:r>
      <w:r>
        <w:t xml:space="preserve">internet (38.3%) and veterinarians (36%) were the primary sources of</w:t>
      </w:r>
      <w:r>
        <w:t xml:space="preserve"> </w:t>
      </w:r>
      <w:r>
        <w:t xml:space="preserve">information on canine zoonotic diseases. Using Pearson’s correlation,</w:t>
      </w:r>
      <w:r>
        <w:t xml:space="preserve"> </w:t>
      </w:r>
      <w:r>
        <w:rPr>
          <w:bCs/>
          <w:b/>
        </w:rPr>
        <w:t xml:space="preserve">significant associations (p&lt;0.05) were found between awareness on</w:t>
      </w:r>
      <w:r>
        <w:rPr>
          <w:bCs/>
          <w:b/>
        </w:rPr>
        <w:t xml:space="preserve"> </w:t>
      </w:r>
      <w:r>
        <w:rPr>
          <w:bCs/>
          <w:b/>
        </w:rPr>
        <w:t xml:space="preserve">zoonotic diseases and sociodemographic factors [R]</w:t>
      </w:r>
      <w:r>
        <w:t xml:space="preserve">, such as</w:t>
      </w:r>
      <w:r>
        <w:t xml:space="preserve"> </w:t>
      </w:r>
      <w:r>
        <w:t xml:space="preserve">educational attainment (p-value=0.000), monthly income (p-value=0.007),</w:t>
      </w:r>
      <w:r>
        <w:t xml:space="preserve"> </w:t>
      </w:r>
      <w:r>
        <w:t xml:space="preserve">and years of dog ownership (p-value=0.001).</w:t>
      </w:r>
    </w:p>
    <w:p>
      <w:pPr>
        <w:pStyle w:val="BodyText"/>
      </w:pPr>
      <w:r>
        <w:rPr>
          <w:bCs/>
          <w:b/>
        </w:rPr>
        <w:t xml:space="preserve">VM19 · 172 words · 0 hedges · 0.0 per 100 words</w:t>
      </w:r>
    </w:p>
    <w:p>
      <w:pPr>
        <w:pStyle w:val="BodyText"/>
      </w:pPr>
      <w:r>
        <w:t xml:space="preserve">Salmonella spp. and Escherichia coli are two significant bacteria that</w:t>
      </w:r>
      <w:r>
        <w:t xml:space="preserve"> </w:t>
      </w:r>
      <w:r>
        <w:t xml:space="preserve">are a source of human foodborne illness. They result from consuming meat</w:t>
      </w:r>
      <w:r>
        <w:t xml:space="preserve"> </w:t>
      </w:r>
      <w:r>
        <w:t xml:space="preserve">or fish that bacteria have contaminated. The purpose of this study was</w:t>
      </w:r>
      <w:r>
        <w:t xml:space="preserve"> </w:t>
      </w:r>
      <w:r>
        <w:t xml:space="preserve">to determine the anti-microbial resistance of isolated Salmonella spp.</w:t>
      </w:r>
      <w:r>
        <w:t xml:space="preserve"> </w:t>
      </w:r>
      <w:r>
        <w:t xml:space="preserve">and E. coli from commercially available fish in the Pampang Public</w:t>
      </w:r>
      <w:r>
        <w:t xml:space="preserve"> </w:t>
      </w:r>
      <w:r>
        <w:t xml:space="preserve">Market, Angeles City. A total of 30 whole fish, three (3) different fish</w:t>
      </w:r>
      <w:r>
        <w:t xml:space="preserve"> </w:t>
      </w:r>
      <w:r>
        <w:t xml:space="preserve">in 10 different stalls were used to test Salmonella spp. and E. coli.</w:t>
      </w:r>
      <w:r>
        <w:t xml:space="preserve"> </w:t>
      </w:r>
      <w:r>
        <w:t xml:space="preserve">Six (6) out of 30 samples in XLD were Salmonella spp. positive, where</w:t>
      </w:r>
      <w:r>
        <w:t xml:space="preserve"> </w:t>
      </w:r>
      <w:r>
        <w:t xml:space="preserve">they exhibited red or yellow colonies with a black in the center,</w:t>
      </w:r>
      <w:r>
        <w:t xml:space="preserve"> </w:t>
      </w:r>
      <w:r>
        <w:t xml:space="preserve">meanwhile three (3) out of 30 samples in EMB were E. coli positive,</w:t>
      </w:r>
      <w:r>
        <w:t xml:space="preserve"> </w:t>
      </w:r>
      <w:r>
        <w:t xml:space="preserve">where they showed a metallic green sheen. In the antibiotic sensitivity</w:t>
      </w:r>
      <w:r>
        <w:t xml:space="preserve"> </w:t>
      </w:r>
      <w:r>
        <w:t xml:space="preserve">testing of six (6) positive samples in Salmonella spp., four (4) showed</w:t>
      </w:r>
      <w:r>
        <w:t xml:space="preserve"> </w:t>
      </w:r>
      <w:r>
        <w:t xml:space="preserve">resistance to ceftazidime (33.33%), chloramphenicol (16.67%), imipenem</w:t>
      </w:r>
      <w:r>
        <w:t xml:space="preserve"> </w:t>
      </w:r>
      <w:r>
        <w:t xml:space="preserve">(16.17%), and tetracycline (83.33%). Of the three (3) positive samples,</w:t>
      </w:r>
      <w:r>
        <w:t xml:space="preserve"> </w:t>
      </w:r>
      <w:r>
        <w:t xml:space="preserve">E. coli exhibited resistance to ceftazidime (33.33%), chloramphenicol</w:t>
      </w:r>
      <w:r>
        <w:t xml:space="preserve"> </w:t>
      </w:r>
      <w:r>
        <w:t xml:space="preserve">(33.33%), imipenem (66.67%), and tetracycline (66.67%).</w:t>
      </w:r>
    </w:p>
    <w:p>
      <w:pPr>
        <w:pStyle w:val="BodyText"/>
      </w:pPr>
      <w:r>
        <w:rPr>
          <w:bCs/>
          <w:b/>
        </w:rPr>
        <w:t xml:space="preserve">VM20 · 271 words · 0 hedges · 0.0 per 100 words</w:t>
      </w:r>
    </w:p>
    <w:p>
      <w:pPr>
        <w:pStyle w:val="BodyText"/>
      </w:pPr>
      <w:r>
        <w:t xml:space="preserve">This study evaluated the knowledge, attitudes, and practices (KAP) of</w:t>
      </w:r>
      <w:r>
        <w:t xml:space="preserve"> </w:t>
      </w:r>
      <w:r>
        <w:t xml:space="preserve">Pandi, Bulacan, Philippines residents regarding rabies, a fatal viral</w:t>
      </w:r>
      <w:r>
        <w:t xml:space="preserve"> </w:t>
      </w:r>
      <w:r>
        <w:t xml:space="preserve">zoonotic disease posing significant public health risks. A</w:t>
      </w:r>
      <w:r>
        <w:t xml:space="preserve"> </w:t>
      </w:r>
      <w:r>
        <w:t xml:space="preserve">cross-sectional survey was conducted among 384 respondents using</w:t>
      </w:r>
      <w:r>
        <w:t xml:space="preserve"> </w:t>
      </w:r>
      <w:r>
        <w:t xml:space="preserve">structured questionnaires to assess awareness, perceptions, and</w:t>
      </w:r>
      <w:r>
        <w:t xml:space="preserve"> </w:t>
      </w:r>
      <w:r>
        <w:t xml:space="preserve">preventive measures against rabies. Statistical analyses, including</w:t>
      </w:r>
      <w:r>
        <w:t xml:space="preserve"> </w:t>
      </w:r>
      <w:r>
        <w:t xml:space="preserve">Chi-square tests and multiple linear regression, were employed to</w:t>
      </w:r>
      <w:r>
        <w:t xml:space="preserve"> </w:t>
      </w:r>
      <w:r>
        <w:t xml:space="preserve">examine associations between socio-demographic factors and KAP scores</w:t>
      </w:r>
      <w:r>
        <w:t xml:space="preserve"> </w:t>
      </w:r>
      <w:r>
        <w:t xml:space="preserve">and predictive relationships among knowledge, attitudes, and practices</w:t>
      </w:r>
      <w:r>
        <w:t xml:space="preserve"> </w:t>
      </w:r>
      <w:r>
        <w:t xml:space="preserve">of respondents.</w:t>
      </w:r>
      <w:r>
        <w:t xml:space="preserve"> </w:t>
      </w:r>
      <w:r>
        <w:rPr>
          <w:bCs/>
          <w:b/>
        </w:rPr>
        <w:t xml:space="preserve">The results indicated that most respondents</w:t>
      </w:r>
      <w:r>
        <w:rPr>
          <w:bCs/>
          <w:b/>
        </w:rPr>
        <w:t xml:space="preserve"> </w:t>
      </w:r>
      <w:r>
        <w:rPr>
          <w:bCs/>
          <w:b/>
        </w:rPr>
        <w:t xml:space="preserve">demonstrated high knowledge about rabies (69.3%), particularly regarding</w:t>
      </w:r>
      <w:r>
        <w:rPr>
          <w:bCs/>
          <w:b/>
        </w:rPr>
        <w:t xml:space="preserve"> </w:t>
      </w:r>
      <w:r>
        <w:rPr>
          <w:bCs/>
          <w:b/>
        </w:rPr>
        <w:t xml:space="preserve">transmission and prevention [R]</w:t>
      </w:r>
      <w:r>
        <w:t xml:space="preserve">, However, misconceptions persisted,</w:t>
      </w:r>
      <w:r>
        <w:t xml:space="preserve"> </w:t>
      </w:r>
      <w:r>
        <w:t xml:space="preserve">notably about rabies’ incurability (39.8%) and the role of neutering in</w:t>
      </w:r>
      <w:r>
        <w:t xml:space="preserve"> </w:t>
      </w:r>
      <w:r>
        <w:t xml:space="preserve">disease control (50.3%). Attitudes toward rabies prevention were</w:t>
      </w:r>
      <w:r>
        <w:t xml:space="preserve"> </w:t>
      </w:r>
      <w:r>
        <w:t xml:space="preserve">predominantly positive (77%), as were reported practices (97%).</w:t>
      </w:r>
      <w:r>
        <w:t xml:space="preserve"> </w:t>
      </w:r>
      <w:r>
        <w:t xml:space="preserve">Significant associations were identified between knowledge levels and</w:t>
      </w:r>
      <w:r>
        <w:t xml:space="preserve"> </w:t>
      </w:r>
      <w:r>
        <w:t xml:space="preserve">socio-demographic factors, including educational attainment (p=0.0008),</w:t>
      </w:r>
      <w:r>
        <w:t xml:space="preserve"> </w:t>
      </w:r>
      <w:r>
        <w:t xml:space="preserve">where higher education correlated with improved rabies awareness and pet</w:t>
      </w:r>
      <w:r>
        <w:t xml:space="preserve"> </w:t>
      </w:r>
      <w:r>
        <w:t xml:space="preserve">ownership practices (p=0.035). For attitudes, significant associations</w:t>
      </w:r>
      <w:r>
        <w:t xml:space="preserve"> </w:t>
      </w:r>
      <w:r>
        <w:t xml:space="preserve">were observed between respondents’ age (p=0.015) and educational</w:t>
      </w:r>
      <w:r>
        <w:t xml:space="preserve"> </w:t>
      </w:r>
      <w:r>
        <w:t xml:space="preserve">attainment (p&lt;0.0001). Practices showed only one significant</w:t>
      </w:r>
      <w:r>
        <w:t xml:space="preserve"> </w:t>
      </w:r>
      <w:r>
        <w:t xml:space="preserve">association with educational attainment (p=0.016).</w:t>
      </w:r>
      <w:r>
        <w:t xml:space="preserve"> </w:t>
      </w:r>
      <w:r>
        <w:rPr>
          <w:bCs/>
          <w:b/>
        </w:rPr>
        <w:t xml:space="preserve">Multiple linear</w:t>
      </w:r>
      <w:r>
        <w:rPr>
          <w:bCs/>
          <w:b/>
        </w:rPr>
        <w:t xml:space="preserve"> </w:t>
      </w:r>
      <w:r>
        <w:rPr>
          <w:bCs/>
          <w:b/>
        </w:rPr>
        <w:t xml:space="preserve">regression analysis confirmed interrelationships among KAP dimensions,</w:t>
      </w:r>
      <w:r>
        <w:rPr>
          <w:bCs/>
          <w:b/>
        </w:rPr>
        <w:t xml:space="preserve"> </w:t>
      </w:r>
      <w:r>
        <w:rPr>
          <w:bCs/>
          <w:b/>
        </w:rPr>
        <w:t xml:space="preserve">revealing that higher knowledge scores significantly predicted better</w:t>
      </w:r>
      <w:r>
        <w:rPr>
          <w:bCs/>
          <w:b/>
        </w:rPr>
        <w:t xml:space="preserve"> </w:t>
      </w:r>
      <w:r>
        <w:rPr>
          <w:bCs/>
          <w:b/>
        </w:rPr>
        <w:t xml:space="preserve">preventive behaviors [R]</w:t>
      </w:r>
      <w:r>
        <w:t xml:space="preserve"> </w:t>
      </w:r>
      <w:r>
        <w:t xml:space="preserve">(p &lt; 0.001). The findings underscore the</w:t>
      </w:r>
      <w:r>
        <w:t xml:space="preserve"> </w:t>
      </w:r>
      <w:r>
        <w:t xml:space="preserve">necessity of targeted educational campaigns to address misconceptions,</w:t>
      </w:r>
      <w:r>
        <w:t xml:space="preserve"> </w:t>
      </w:r>
      <w:r>
        <w:t xml:space="preserve">enhance community engagement to promote responsible pet ownership, and</w:t>
      </w:r>
      <w:r>
        <w:t xml:space="preserve"> </w:t>
      </w:r>
      <w:r>
        <w:t xml:space="preserve">improve access to veterinary services. Strengthening policies on pet</w:t>
      </w:r>
      <w:r>
        <w:t xml:space="preserve"> </w:t>
      </w:r>
      <w:r>
        <w:t xml:space="preserve">vaccination programs and implementing stricter guidelines for pet care</w:t>
      </w:r>
      <w:r>
        <w:t xml:space="preserve"> </w:t>
      </w:r>
      <w:r>
        <w:t xml:space="preserve">are</w:t>
      </w:r>
      <w:r>
        <w:t xml:space="preserve"> </w:t>
      </w:r>
      <w:r>
        <w:rPr>
          <w:strike/>
          <w:bCs/>
          <w:b/>
        </w:rPr>
        <w:t xml:space="preserve">recommended</w:t>
      </w:r>
      <w:r>
        <w:t xml:space="preserve"> </w:t>
      </w:r>
      <w:r>
        <w:t xml:space="preserve">(FP-Rec) to mitigate rabies transmission risks.</w:t>
      </w:r>
      <w:r>
        <w:t xml:space="preserve"> </w:t>
      </w:r>
      <w:r>
        <w:t xml:space="preserve">These insights align with broader efforts toward rabies elimination in</w:t>
      </w:r>
      <w:r>
        <w:t xml:space="preserve"> </w:t>
      </w:r>
      <w:r>
        <w:t xml:space="preserve">the Philippines by 2030, emphasizing the importance of addressing</w:t>
      </w:r>
      <w:r>
        <w:t xml:space="preserve"> </w:t>
      </w:r>
      <w:r>
        <w:t xml:space="preserve">localized KAP gaps through evidence-based interventions.</w:t>
      </w:r>
    </w:p>
    <w:p>
      <w:pPr>
        <w:pStyle w:val="BodyText"/>
      </w:pPr>
      <w:r>
        <w:rPr>
          <w:bCs/>
          <w:b/>
        </w:rPr>
        <w:t xml:space="preserve">Agriculture, Crop Science (Acs1–Acs10)</w:t>
      </w:r>
    </w:p>
    <w:p>
      <w:pPr>
        <w:pStyle w:val="BodyText"/>
      </w:pPr>
      <w:r>
        <w:rPr>
          <w:bCs/>
          <w:b/>
        </w:rPr>
        <w:t xml:space="preserve">Acs1 · 203 words · 1 hedges · 0.49 per 100 words</w:t>
      </w:r>
    </w:p>
    <w:p>
      <w:pPr>
        <w:pStyle w:val="BodyText"/>
      </w:pPr>
      <w:r>
        <w:t xml:space="preserve">This experimental study examined the performance of finger pepper</w:t>
      </w:r>
      <w:r>
        <w:t xml:space="preserve"> </w:t>
      </w:r>
      <w:r>
        <w:t xml:space="preserve">(Capsicum frutescens) treated with fermented banana peel as an organic</w:t>
      </w:r>
      <w:r>
        <w:t xml:space="preserve"> </w:t>
      </w:r>
      <w:r>
        <w:t xml:space="preserve">amendment. The research was conducted in Barangay Bucanan, Magalang,</w:t>
      </w:r>
      <w:r>
        <w:t xml:space="preserve"> </w:t>
      </w:r>
      <w:r>
        <w:t xml:space="preserve">Pampanga, from March to April 2025. Five treatments were tested: T1 –</w:t>
      </w:r>
      <w:r>
        <w:t xml:space="preserve"> </w:t>
      </w:r>
      <w:r>
        <w:t xml:space="preserve">general recommendation (control), T2 – fermented banana peel applied</w:t>
      </w:r>
      <w:r>
        <w:t xml:space="preserve"> </w:t>
      </w:r>
      <w:r>
        <w:t xml:space="preserve">twice weekly, T3 – 100% recommended fertilizer rate with fermented</w:t>
      </w:r>
      <w:r>
        <w:t xml:space="preserve"> </w:t>
      </w:r>
      <w:r>
        <w:t xml:space="preserve">banana peel (twice weekly), T4 – 75% recommended fertilizer rate with</w:t>
      </w:r>
      <w:r>
        <w:t xml:space="preserve"> </w:t>
      </w:r>
      <w:r>
        <w:t xml:space="preserve">fermented banana peel (twice weekly), and T5 – 50% recommended</w:t>
      </w:r>
      <w:r>
        <w:t xml:space="preserve"> </w:t>
      </w:r>
      <w:r>
        <w:t xml:space="preserve">fertilizer rate with fermented banana peel (twice weekly). Parameters</w:t>
      </w:r>
      <w:r>
        <w:t xml:space="preserve"> </w:t>
      </w:r>
      <w:r>
        <w:t xml:space="preserve">measured included days from transplanting to flowering, plant height at</w:t>
      </w:r>
      <w:r>
        <w:t xml:space="preserve"> </w:t>
      </w:r>
      <w:r>
        <w:t xml:space="preserve">first harvest, number of fruits per plant, weight of fruits per plant</w:t>
      </w:r>
      <w:r>
        <w:t xml:space="preserve"> </w:t>
      </w:r>
      <w:r>
        <w:t xml:space="preserve">(g), number of marketable and non- marketable fruits, and computed yield</w:t>
      </w:r>
      <w:r>
        <w:t xml:space="preserve"> </w:t>
      </w:r>
      <w:r>
        <w:t xml:space="preserve">per hectare (tons/ha). This revealed that the application of fermented</w:t>
      </w:r>
      <w:r>
        <w:t xml:space="preserve"> </w:t>
      </w:r>
      <w:r>
        <w:t xml:space="preserve">banana peel improved all growth and yield parameters assessed. Among all</w:t>
      </w:r>
      <w:r>
        <w:t xml:space="preserve"> </w:t>
      </w:r>
      <w:r>
        <w:t xml:space="preserve">treatments, T5 (50% recommended fertilizer rate with fermented banana</w:t>
      </w:r>
      <w:r>
        <w:t xml:space="preserve"> </w:t>
      </w:r>
      <w:r>
        <w:t xml:space="preserve">peel) yielded the most favorable results in terms of plant height, fruit</w:t>
      </w:r>
      <w:r>
        <w:t xml:space="preserve"> </w:t>
      </w:r>
      <w:r>
        <w:t xml:space="preserve">quantity and weight, and overall productivity. These findings</w:t>
      </w:r>
      <w:r>
        <w:t xml:space="preserve"> </w:t>
      </w:r>
      <w:r>
        <w:rPr>
          <w:bCs/>
          <w:b/>
        </w:rPr>
        <w:t xml:space="preserve">suggest</w:t>
      </w:r>
      <w:r>
        <w:rPr>
          <w:bCs/>
          <w:b/>
        </w:rPr>
        <w:t xml:space="preserve"> </w:t>
      </w:r>
      <w:r>
        <w:rPr>
          <w:bCs/>
          <w:b/>
        </w:rPr>
        <w:t xml:space="preserve">(EC)</w:t>
      </w:r>
      <w:r>
        <w:t xml:space="preserve"> </w:t>
      </w:r>
      <w:r>
        <w:t xml:space="preserve">that fermented banana peel, when applied at an optimal rate in</w:t>
      </w:r>
      <w:r>
        <w:t xml:space="preserve"> </w:t>
      </w:r>
      <w:r>
        <w:t xml:space="preserve">combination with reduced synthetic fertilizer input,</w:t>
      </w:r>
      <w:r>
        <w:t xml:space="preserve"> </w:t>
      </w:r>
      <w:r>
        <w:rPr>
          <w:strike/>
          <w:bCs/>
          <w:b/>
        </w:rPr>
        <w:t xml:space="preserve">can</w:t>
      </w:r>
      <w:r>
        <w:t xml:space="preserve"> </w:t>
      </w:r>
      <w:r>
        <w:t xml:space="preserve">(FP-Cap) significantly enhance the growth and yield performance of</w:t>
      </w:r>
      <w:r>
        <w:t xml:space="preserve"> </w:t>
      </w:r>
      <w:r>
        <w:t xml:space="preserve">finger pepper, offering a sustainable alternative for crop production.</w:t>
      </w:r>
    </w:p>
    <w:p>
      <w:pPr>
        <w:pStyle w:val="BodyText"/>
      </w:pPr>
      <w:r>
        <w:rPr>
          <w:bCs/>
          <w:b/>
        </w:rPr>
        <w:t xml:space="preserve">Acs2 · 184 words · 8 hedges · 4.35 per 100 words</w:t>
      </w:r>
    </w:p>
    <w:p>
      <w:pPr>
        <w:pStyle w:val="BodyText"/>
      </w:pPr>
      <w:r>
        <w:t xml:space="preserve">In this study the researcher used Randomized Complete Block Design with</w:t>
      </w:r>
      <w:r>
        <w:t xml:space="preserve"> </w:t>
      </w:r>
      <w:r>
        <w:t xml:space="preserve">two (2) different treatments which are; Treatment 1- Non-Primed and</w:t>
      </w:r>
      <w:r>
        <w:t xml:space="preserve"> </w:t>
      </w:r>
      <w:r>
        <w:t xml:space="preserve">Treatment 2- Seed Coated with Mycorrhiza. The researcher applied</w:t>
      </w:r>
      <w:r>
        <w:t xml:space="preserve"> </w:t>
      </w:r>
      <w:r>
        <w:t xml:space="preserve">mycorrhiza to enhance root development, drought resistance, and overall</w:t>
      </w:r>
      <w:r>
        <w:t xml:space="preserve"> </w:t>
      </w:r>
      <w:r>
        <w:t xml:space="preserve">growth and yield of mung beans through seed coating. This</w:t>
      </w:r>
      <w:r>
        <w:t xml:space="preserve"> </w:t>
      </w:r>
      <w:r>
        <w:rPr>
          <w:bCs/>
          <w:b/>
        </w:rPr>
        <w:t xml:space="preserve">suggests</w:t>
      </w:r>
      <w:r>
        <w:rPr>
          <w:bCs/>
          <w:b/>
        </w:rPr>
        <w:t xml:space="preserve"> </w:t>
      </w:r>
      <w:r>
        <w:rPr>
          <w:bCs/>
          <w:b/>
        </w:rPr>
        <w:t xml:space="preserve">(EC)</w:t>
      </w:r>
      <w:r>
        <w:t xml:space="preserve"> </w:t>
      </w:r>
      <w:r>
        <w:t xml:space="preserve">that while statistical significance</w:t>
      </w:r>
      <w:r>
        <w:t xml:space="preserve"> </w:t>
      </w:r>
      <w:r>
        <w:rPr>
          <w:bCs/>
          <w:b/>
        </w:rPr>
        <w:t xml:space="preserve">might (EC)</w:t>
      </w:r>
      <w:r>
        <w:t xml:space="preserve"> </w:t>
      </w:r>
      <w:r>
        <w:t xml:space="preserve">not have been</w:t>
      </w:r>
      <w:r>
        <w:t xml:space="preserve"> </w:t>
      </w:r>
      <w:r>
        <w:t xml:space="preserve">observed, the mycorrhiza treatment</w:t>
      </w:r>
      <w:r>
        <w:t xml:space="preserve"> </w:t>
      </w:r>
      <w:r>
        <w:rPr>
          <w:bCs/>
          <w:b/>
        </w:rPr>
        <w:t xml:space="preserve">could (EC)</w:t>
      </w:r>
      <w:r>
        <w:t xml:space="preserve"> </w:t>
      </w:r>
      <w:r>
        <w:t xml:space="preserve">still offer</w:t>
      </w:r>
      <w:r>
        <w:t xml:space="preserve"> </w:t>
      </w:r>
      <w:r>
        <w:rPr>
          <w:bCs/>
          <w:b/>
        </w:rPr>
        <w:t xml:space="preserve">potential (EC)</w:t>
      </w:r>
      <w:r>
        <w:t xml:space="preserve"> </w:t>
      </w:r>
      <w:r>
        <w:t xml:space="preserve">benefits to the plants. The result of the study</w:t>
      </w:r>
      <w:r>
        <w:t xml:space="preserve"> </w:t>
      </w:r>
      <w:r>
        <w:t xml:space="preserve">indicate that there were no statistically significant differences</w:t>
      </w:r>
      <w:r>
        <w:t xml:space="preserve"> </w:t>
      </w:r>
      <w:r>
        <w:t xml:space="preserve">observed across the various measured parameters for the two treatments.</w:t>
      </w:r>
      <w:r>
        <w:t xml:space="preserve"> </w:t>
      </w:r>
      <w:r>
        <w:t xml:space="preserve">However, the researchers still chose to apply mycorrhiza through seed</w:t>
      </w:r>
      <w:r>
        <w:t xml:space="preserve"> </w:t>
      </w:r>
      <w:r>
        <w:t xml:space="preserve">coating to aid in root development, drought resistance, and overall</w:t>
      </w:r>
      <w:r>
        <w:t xml:space="preserve"> </w:t>
      </w:r>
      <w:r>
        <w:t xml:space="preserve">growth and yield improvement in mung beans. This</w:t>
      </w:r>
      <w:r>
        <w:t xml:space="preserve"> </w:t>
      </w:r>
      <w:r>
        <w:rPr>
          <w:bCs/>
          <w:b/>
        </w:rPr>
        <w:t xml:space="preserve">suggests (EC)</w:t>
      </w:r>
      <w:r>
        <w:t xml:space="preserve"> </w:t>
      </w:r>
      <w:r>
        <w:t xml:space="preserve">that</w:t>
      </w:r>
      <w:r>
        <w:t xml:space="preserve"> </w:t>
      </w:r>
      <w:r>
        <w:t xml:space="preserve">while the differences</w:t>
      </w:r>
      <w:r>
        <w:t xml:space="preserve"> </w:t>
      </w:r>
      <w:r>
        <w:rPr>
          <w:bCs/>
          <w:b/>
        </w:rPr>
        <w:t xml:space="preserve">might (EC)</w:t>
      </w:r>
      <w:r>
        <w:t xml:space="preserve"> </w:t>
      </w:r>
      <w:r>
        <w:t xml:space="preserve">not have been significant in the</w:t>
      </w:r>
      <w:r>
        <w:t xml:space="preserve"> </w:t>
      </w:r>
      <w:r>
        <w:t xml:space="preserve">study, the researchers believe that mycorrhiza</w:t>
      </w:r>
      <w:r>
        <w:t xml:space="preserve"> </w:t>
      </w:r>
      <w:r>
        <w:rPr>
          <w:bCs/>
          <w:b/>
        </w:rPr>
        <w:t xml:space="preserve">could (EC)</w:t>
      </w:r>
      <w:r>
        <w:t xml:space="preserve"> </w:t>
      </w:r>
      <w:r>
        <w:t xml:space="preserve">provide</w:t>
      </w:r>
      <w:r>
        <w:t xml:space="preserve"> </w:t>
      </w:r>
      <w:r>
        <w:t xml:space="preserve">beneficial effects in practical agricultural contexts. The study</w:t>
      </w:r>
      <w:r>
        <w:t xml:space="preserve"> </w:t>
      </w:r>
      <w:r>
        <w:t xml:space="preserve">concluded that the application of mycorrhiza positive impact on mung</w:t>
      </w:r>
      <w:r>
        <w:t xml:space="preserve"> </w:t>
      </w:r>
      <w:r>
        <w:t xml:space="preserve">beans during drought and root development highlights its</w:t>
      </w:r>
      <w:r>
        <w:t xml:space="preserve"> </w:t>
      </w:r>
      <w:r>
        <w:rPr>
          <w:bCs/>
          <w:b/>
        </w:rPr>
        <w:t xml:space="preserve">potential</w:t>
      </w:r>
      <w:r>
        <w:rPr>
          <w:bCs/>
          <w:b/>
        </w:rPr>
        <w:t xml:space="preserve"> </w:t>
      </w:r>
      <w:r>
        <w:rPr>
          <w:bCs/>
          <w:b/>
        </w:rPr>
        <w:t xml:space="preserve">(EC)</w:t>
      </w:r>
      <w:r>
        <w:t xml:space="preserve"> </w:t>
      </w:r>
      <w:r>
        <w:t xml:space="preserve">benefits for plant growth. Further research</w:t>
      </w:r>
      <w:r>
        <w:t xml:space="preserve"> </w:t>
      </w:r>
      <w:r>
        <w:rPr>
          <w:strike/>
          <w:bCs/>
          <w:b/>
        </w:rPr>
        <w:t xml:space="preserve">could</w:t>
      </w:r>
      <w:r>
        <w:t xml:space="preserve"> </w:t>
      </w:r>
      <w:r>
        <w:t xml:space="preserve">(FP-Gen) unveil additional insights and applications for optimizing</w:t>
      </w:r>
      <w:r>
        <w:t xml:space="preserve"> </w:t>
      </w:r>
      <w:r>
        <w:t xml:space="preserve">plant health.</w:t>
      </w:r>
    </w:p>
    <w:p>
      <w:pPr>
        <w:pStyle w:val="BodyText"/>
      </w:pPr>
      <w:r>
        <w:rPr>
          <w:bCs/>
          <w:b/>
        </w:rPr>
        <w:t xml:space="preserve">Acs3 · 235 words · 2 hedges · 0.85 per 100 words</w:t>
      </w:r>
    </w:p>
    <w:p>
      <w:pPr>
        <w:pStyle w:val="BodyText"/>
      </w:pPr>
      <w:r>
        <w:t xml:space="preserve">The study was conducted at Barangay Pandacaqui, Mexico, Pampanga, from</w:t>
      </w:r>
      <w:r>
        <w:t xml:space="preserve"> </w:t>
      </w:r>
      <w:r>
        <w:t xml:space="preserve">November 2022 to February 2023 to determine the effect of rooting</w:t>
      </w:r>
      <w:r>
        <w:t xml:space="preserve"> </w:t>
      </w:r>
      <w:r>
        <w:t xml:space="preserve">hormones on monstera cuttings. The study used Complete Randomized Design</w:t>
      </w:r>
      <w:r>
        <w:t xml:space="preserve"> </w:t>
      </w:r>
      <w:r>
        <w:t xml:space="preserve">(CRD) with four replications. The pot experiment comprised of main</w:t>
      </w:r>
      <w:r>
        <w:t xml:space="preserve"> </w:t>
      </w:r>
      <w:r>
        <w:t xml:space="preserve">treatments: T1- Control (Water), T2- Aloe Vera gel, T3- Coconut water,</w:t>
      </w:r>
      <w:r>
        <w:t xml:space="preserve"> </w:t>
      </w:r>
      <w:r>
        <w:t xml:space="preserve">T4- Moringa leaves extract, and T5- ANAA. Data were evaluated using</w:t>
      </w:r>
      <w:r>
        <w:t xml:space="preserve"> </w:t>
      </w:r>
      <w:r>
        <w:t xml:space="preserve">Analysis of Variance (ANOVA). Based on the results of the study,</w:t>
      </w:r>
      <w:r>
        <w:t xml:space="preserve"> </w:t>
      </w:r>
      <w:r>
        <w:t xml:space="preserve">different rooting hormones did not significantly influence the days to</w:t>
      </w:r>
      <w:r>
        <w:t xml:space="preserve"> </w:t>
      </w:r>
      <w:r>
        <w:t xml:space="preserve">shoot emergence, number of shoots, number of leaves, number of</w:t>
      </w:r>
      <w:r>
        <w:t xml:space="preserve"> </w:t>
      </w:r>
      <w:r>
        <w:t xml:space="preserve">adventitious roots, root diameter, length of the longest roots, number</w:t>
      </w:r>
      <w:r>
        <w:t xml:space="preserve"> </w:t>
      </w:r>
      <w:r>
        <w:t xml:space="preserve">of rooted cuttings, and percentage of survival cuttings. Additionally,</w:t>
      </w:r>
      <w:r>
        <w:t xml:space="preserve"> </w:t>
      </w:r>
      <w:r>
        <w:t xml:space="preserve">alternative rooting hormones and synthetic hormone applications had</w:t>
      </w:r>
      <w:r>
        <w:t xml:space="preserve"> </w:t>
      </w:r>
      <w:r>
        <w:t xml:space="preserve">varying survival rates. The highest survival was found in ANAA, followed</w:t>
      </w:r>
      <w:r>
        <w:t xml:space="preserve"> </w:t>
      </w:r>
      <w:r>
        <w:t xml:space="preserve">by control water (distilled or filtered water), coconut water, and aloe</w:t>
      </w:r>
      <w:r>
        <w:t xml:space="preserve"> </w:t>
      </w:r>
      <w:r>
        <w:t xml:space="preserve">vera gel, and the lowest survival was found in moringa leaf extract. In</w:t>
      </w:r>
      <w:r>
        <w:t xml:space="preserve"> </w:t>
      </w:r>
      <w:r>
        <w:t xml:space="preserve">conclusion, the number of rooted cuttings obtained by application of</w:t>
      </w:r>
      <w:r>
        <w:t xml:space="preserve"> </w:t>
      </w:r>
      <w:r>
        <w:t xml:space="preserve">aloe vera gel and moringa leaf extract was comparable in percentage</w:t>
      </w:r>
      <w:r>
        <w:t xml:space="preserve"> </w:t>
      </w:r>
      <w:r>
        <w:t xml:space="preserve">survival with that obtained by application of water (distilled or</w:t>
      </w:r>
      <w:r>
        <w:t xml:space="preserve"> </w:t>
      </w:r>
      <w:r>
        <w:t xml:space="preserve">filtered water) on monstera cuttings. Most</w:t>
      </w:r>
      <w:r>
        <w:t xml:space="preserve"> </w:t>
      </w:r>
      <w:r>
        <w:rPr>
          <w:strike/>
          <w:bCs/>
          <w:b/>
        </w:rPr>
        <w:t xml:space="preserve">can</w:t>
      </w:r>
      <w:r>
        <w:t xml:space="preserve"> </w:t>
      </w:r>
      <w:r>
        <w:t xml:space="preserve">(FP-Cap) survive</w:t>
      </w:r>
      <w:r>
        <w:t xml:space="preserve"> </w:t>
      </w:r>
      <w:r>
        <w:t xml:space="preserve">the water treatment application but</w:t>
      </w:r>
      <w:r>
        <w:t xml:space="preserve"> </w:t>
      </w:r>
      <w:r>
        <w:rPr>
          <w:bCs/>
          <w:b/>
        </w:rPr>
        <w:t xml:space="preserve">may (EC)</w:t>
      </w:r>
      <w:r>
        <w:t xml:space="preserve"> </w:t>
      </w:r>
      <w:r>
        <w:t xml:space="preserve">not establish roots and</w:t>
      </w:r>
      <w:r>
        <w:t xml:space="preserve"> </w:t>
      </w:r>
      <w:r>
        <w:t xml:space="preserve">die after several days. However, it</w:t>
      </w:r>
      <w:r>
        <w:t xml:space="preserve"> </w:t>
      </w:r>
      <w:r>
        <w:rPr>
          <w:bCs/>
          <w:b/>
        </w:rPr>
        <w:t xml:space="preserve">can (EC)</w:t>
      </w:r>
      <w:r>
        <w:t xml:space="preserve"> </w:t>
      </w:r>
      <w:r>
        <w:t xml:space="preserve">be derived that the</w:t>
      </w:r>
      <w:r>
        <w:t xml:space="preserve"> </w:t>
      </w:r>
      <w:r>
        <w:t xml:space="preserve">application of different alternative rooting hormones has a comparable</w:t>
      </w:r>
      <w:r>
        <w:t xml:space="preserve"> </w:t>
      </w:r>
      <w:r>
        <w:t xml:space="preserve">effect with synthetic rooting hormones based on the growth parameters.</w:t>
      </w:r>
    </w:p>
    <w:p>
      <w:pPr>
        <w:pStyle w:val="BodyText"/>
      </w:pPr>
      <w:r>
        <w:rPr>
          <w:bCs/>
          <w:b/>
        </w:rPr>
        <w:t xml:space="preserve">Acs4 · 221 words · 0 hedges · 0.0 per 100 words</w:t>
      </w:r>
    </w:p>
    <w:p>
      <w:pPr>
        <w:pStyle w:val="BodyText"/>
      </w:pPr>
      <w:r>
        <w:t xml:space="preserve">The study was conducted to determine the growth and yield performance of</w:t>
      </w:r>
      <w:r>
        <w:t xml:space="preserve"> </w:t>
      </w:r>
      <w:r>
        <w:t xml:space="preserve">sweet potatoes treated with seaweed extract foliar spray from December</w:t>
      </w:r>
      <w:r>
        <w:t xml:space="preserve"> </w:t>
      </w:r>
      <w:r>
        <w:t xml:space="preserve">2023 to February 2024 in Telapayong, Arayat, Pampanga. The experiment</w:t>
      </w:r>
      <w:r>
        <w:t xml:space="preserve"> </w:t>
      </w:r>
      <w:r>
        <w:t xml:space="preserve">utilized a Randomized Complete Block Design (RCBD) with five treatments</w:t>
      </w:r>
      <w:r>
        <w:t xml:space="preserve"> </w:t>
      </w:r>
      <w:r>
        <w:t xml:space="preserve">replicated four times. Based on the results of the study, there are</w:t>
      </w:r>
      <w:r>
        <w:t xml:space="preserve"> </w:t>
      </w:r>
      <w:r>
        <w:t xml:space="preserve">significant differences in the length of vines at 60 days after planting</w:t>
      </w:r>
      <w:r>
        <w:t xml:space="preserve"> </w:t>
      </w:r>
      <w:r>
        <w:t xml:space="preserve">(DAP), while other parameters showed no significant differences. These</w:t>
      </w:r>
      <w:r>
        <w:t xml:space="preserve"> </w:t>
      </w:r>
      <w:r>
        <w:t xml:space="preserve">include length of vines at 30 DAP and 70 DAP, number of marketable</w:t>
      </w:r>
      <w:r>
        <w:t xml:space="preserve"> </w:t>
      </w:r>
      <w:r>
        <w:t xml:space="preserve">tubers per plant, number of non-marketable tubers per plant, length of</w:t>
      </w:r>
      <w:r>
        <w:t xml:space="preserve"> </w:t>
      </w:r>
      <w:r>
        <w:t xml:space="preserve">tubers per plant, weight of tubers per plant, diameter of tubers per</w:t>
      </w:r>
      <w:r>
        <w:t xml:space="preserve"> </w:t>
      </w:r>
      <w:r>
        <w:t xml:space="preserve">plant, computed yield per hectare, and cost and return analysis among</w:t>
      </w:r>
      <w:r>
        <w:t xml:space="preserve"> </w:t>
      </w:r>
      <w:r>
        <w:t xml:space="preserve">the seaweed extract treatments. The study found that sweet potatoes</w:t>
      </w:r>
      <w:r>
        <w:t xml:space="preserve"> </w:t>
      </w:r>
      <w:r>
        <w:t xml:space="preserve">treated with different seaweed extract foliar sprays showed varying</w:t>
      </w:r>
      <w:r>
        <w:t xml:space="preserve"> </w:t>
      </w:r>
      <w:r>
        <w:t xml:space="preserve">levels of growth and yield. According to the Super Bureau's VSP6, all</w:t>
      </w:r>
      <w:r>
        <w:t xml:space="preserve"> </w:t>
      </w:r>
      <w:r>
        <w:t xml:space="preserve">treatments had the highest mean values across all parameters. However,</w:t>
      </w:r>
      <w:r>
        <w:t xml:space="preserve"> </w:t>
      </w:r>
      <w:r>
        <w:t xml:space="preserve">the positive control had the highest mean values for vine length, weight</w:t>
      </w:r>
      <w:r>
        <w:t xml:space="preserve"> </w:t>
      </w:r>
      <w:r>
        <w:t xml:space="preserve">of tubers per plant, and marketable yield per sample area. Therefore,</w:t>
      </w:r>
      <w:r>
        <w:t xml:space="preserve"> </w:t>
      </w:r>
      <w:r>
        <w:t xml:space="preserve">the application of seaweed extract as a bio stimulant did not</w:t>
      </w:r>
      <w:r>
        <w:t xml:space="preserve"> </w:t>
      </w:r>
      <w:r>
        <w:t xml:space="preserve">significantly enhance the growth and yield of sweet potato. However, the</w:t>
      </w:r>
      <w:r>
        <w:t xml:space="preserve"> </w:t>
      </w:r>
      <w:r>
        <w:t xml:space="preserve">negative control</w:t>
      </w:r>
      <w:r>
        <w:t xml:space="preserve"> </w:t>
      </w:r>
      <w:r>
        <w:rPr>
          <w:strike/>
          <w:bCs/>
          <w:b/>
        </w:rPr>
        <w:t xml:space="preserve">can</w:t>
      </w:r>
      <w:r>
        <w:t xml:space="preserve"> </w:t>
      </w:r>
      <w:r>
        <w:t xml:space="preserve">(FP-Cap) reduce production cost and provide</w:t>
      </w:r>
      <w:r>
        <w:t xml:space="preserve"> </w:t>
      </w:r>
      <w:r>
        <w:t xml:space="preserve">the highest return on investment.</w:t>
      </w:r>
    </w:p>
    <w:p>
      <w:pPr>
        <w:pStyle w:val="BodyText"/>
      </w:pPr>
      <w:r>
        <w:rPr>
          <w:bCs/>
          <w:b/>
        </w:rPr>
        <w:t xml:space="preserve">Acs5 · 199 words · 2 hedges · 1.01 per 100 words</w:t>
      </w:r>
    </w:p>
    <w:p>
      <w:pPr>
        <w:pStyle w:val="BodyText"/>
      </w:pPr>
      <w:r>
        <w:t xml:space="preserve">The study on the frequency of fermented azolla application on the growth</w:t>
      </w:r>
      <w:r>
        <w:t xml:space="preserve"> </w:t>
      </w:r>
      <w:r>
        <w:t xml:space="preserve">and yield of onion was conducted at Barangay San Agustin, Magalang,</w:t>
      </w:r>
      <w:r>
        <w:t xml:space="preserve"> </w:t>
      </w:r>
      <w:r>
        <w:t xml:space="preserve">Pampanga, from December 2024 to April 2025. The experiment consisted of</w:t>
      </w:r>
      <w:r>
        <w:t xml:space="preserve"> </w:t>
      </w:r>
      <w:r>
        <w:t xml:space="preserve">T1 - 75 grams Trichoderma + 1 kg of fermented azolla 1x application,</w:t>
      </w:r>
      <w:r>
        <w:t xml:space="preserve"> </w:t>
      </w:r>
      <w:r>
        <w:t xml:space="preserve">T2 - 75 grams Trichoderma + 1 kg of fermented azolla 2x application,</w:t>
      </w:r>
      <w:r>
        <w:t xml:space="preserve"> </w:t>
      </w:r>
      <w:r>
        <w:t xml:space="preserve">T3 - 75 grams Trichoderma + 1 kg of fermented azolla 3x application, and</w:t>
      </w:r>
      <w:r>
        <w:t xml:space="preserve"> </w:t>
      </w:r>
      <w:r>
        <w:t xml:space="preserve">T4 - 75 grams Trichoderma + 1 kg of fermented azolla 4x application. The</w:t>
      </w:r>
      <w:r>
        <w:t xml:space="preserve"> </w:t>
      </w:r>
      <w:r>
        <w:t xml:space="preserve">parameters used to compare the four treatments were the plant height,</w:t>
      </w:r>
      <w:r>
        <w:t xml:space="preserve"> </w:t>
      </w:r>
      <w:r>
        <w:t xml:space="preserve">number of leaves, bulb diameter, weight of marketable and non –</w:t>
      </w:r>
      <w:r>
        <w:t xml:space="preserve"> </w:t>
      </w:r>
      <w:r>
        <w:t xml:space="preserve">marketable bulbs, and computed yield per hectare. The study found that</w:t>
      </w:r>
      <w:r>
        <w:t xml:space="preserve"> </w:t>
      </w:r>
      <w:r>
        <w:t xml:space="preserve">Trichoderma and Fermented azolla application in onion cultivation</w:t>
      </w:r>
      <w:r>
        <w:t xml:space="preserve"> </w:t>
      </w:r>
      <w:r>
        <w:t xml:space="preserve">significantly improved plant height, number of leaves, bulb diameter,</w:t>
      </w:r>
      <w:r>
        <w:t xml:space="preserve"> </w:t>
      </w:r>
      <w:r>
        <w:t xml:space="preserve">weight of marketable bulbs and non- marketable bulbs, as well as the</w:t>
      </w:r>
      <w:r>
        <w:t xml:space="preserve"> </w:t>
      </w:r>
      <w:r>
        <w:t xml:space="preserve">computed yield per hectare. Among all treatments, T3 (75 grams of</w:t>
      </w:r>
      <w:r>
        <w:t xml:space="preserve"> </w:t>
      </w:r>
      <w:r>
        <w:t xml:space="preserve">Trichoderma + 1kg of fermented azolla 3x application) was found to be</w:t>
      </w:r>
      <w:r>
        <w:t xml:space="preserve"> </w:t>
      </w:r>
      <w:r>
        <w:t xml:space="preserve">the most effective, yielding the best results. This</w:t>
      </w:r>
      <w:r>
        <w:t xml:space="preserve"> </w:t>
      </w:r>
      <w:r>
        <w:rPr>
          <w:bCs/>
          <w:b/>
        </w:rPr>
        <w:t xml:space="preserve">suggests (EC)</w:t>
      </w:r>
      <w:r>
        <w:t xml:space="preserve"> </w:t>
      </w:r>
      <w:r>
        <w:t xml:space="preserve">that Trichoderma and fermented azolla at proper application frequencies</w:t>
      </w:r>
      <w:r>
        <w:t xml:space="preserve"> </w:t>
      </w:r>
      <w:r>
        <w:rPr>
          <w:bCs/>
          <w:b/>
        </w:rPr>
        <w:t xml:space="preserve">could (EC)</w:t>
      </w:r>
      <w:r>
        <w:t xml:space="preserve"> </w:t>
      </w:r>
      <w:r>
        <w:t xml:space="preserve">be beneficial in enhancing cultivation, promoting both</w:t>
      </w:r>
      <w:r>
        <w:t xml:space="preserve"> </w:t>
      </w:r>
      <w:r>
        <w:t xml:space="preserve">plant growth and economic returns.</w:t>
      </w:r>
    </w:p>
    <w:p>
      <w:pPr>
        <w:pStyle w:val="BodyText"/>
      </w:pPr>
      <w:r>
        <w:rPr>
          <w:bCs/>
          <w:b/>
        </w:rPr>
        <w:t xml:space="preserve">Acs6 · 245 words · 1 hedges · 0.41 per 100 words</w:t>
      </w:r>
    </w:p>
    <w:p>
      <w:pPr>
        <w:pStyle w:val="BodyText"/>
      </w:pPr>
      <w:r>
        <w:t xml:space="preserve">This study was conducted to evaluate the growth performance of Adansonii</w:t>
      </w:r>
      <w:r>
        <w:t xml:space="preserve"> </w:t>
      </w:r>
      <w:r>
        <w:t xml:space="preserve">plant under different soil media over a 90-day period. Implemented in</w:t>
      </w:r>
      <w:r>
        <w:t xml:space="preserve"> </w:t>
      </w:r>
      <w:r>
        <w:t xml:space="preserve">December 2024, the experiment followed a Completely Randomized Design</w:t>
      </w:r>
      <w:r>
        <w:t xml:space="preserve"> </w:t>
      </w:r>
      <w:r>
        <w:t xml:space="preserve">(CRD) with five treatments: T1 — Topsoil only (control), T2 —</w:t>
      </w:r>
      <w:r>
        <w:t xml:space="preserve"> </w:t>
      </w:r>
      <w:r>
        <w:t xml:space="preserve">Topsoil + Rice Hull, T3 — Topsoil + Carbonized Rice Hull, T4 —</w:t>
      </w:r>
      <w:r>
        <w:t xml:space="preserve"> </w:t>
      </w:r>
      <w:r>
        <w:t xml:space="preserve">Topsoil + Vermicompost, and T5 — Topsoil + Biochar. Parameters</w:t>
      </w:r>
      <w:r>
        <w:t xml:space="preserve"> </w:t>
      </w:r>
      <w:r>
        <w:t xml:space="preserve">measured included days to shoot emergence, shoot length, number of</w:t>
      </w:r>
      <w:r>
        <w:t xml:space="preserve"> </w:t>
      </w:r>
      <w:r>
        <w:t xml:space="preserve">leaves, leaf area, root length, number of penetrations, and survival</w:t>
      </w:r>
      <w:r>
        <w:t xml:space="preserve"> </w:t>
      </w:r>
      <w:r>
        <w:t xml:space="preserve">rate. Significant differences were observed across treatments. Treatment</w:t>
      </w:r>
      <w:r>
        <w:t xml:space="preserve"> </w:t>
      </w:r>
      <w:r>
        <w:t xml:space="preserve">2 (Rice Hull) showed the earliest shoot emergence at 15.29 days,</w:t>
      </w:r>
      <w:r>
        <w:t xml:space="preserve"> </w:t>
      </w:r>
      <w:r>
        <w:t xml:space="preserve">followed by Treatment 4 (Vermicompost) at 15.83 days. These treatments</w:t>
      </w:r>
      <w:r>
        <w:t xml:space="preserve"> </w:t>
      </w:r>
      <w:r>
        <w:t xml:space="preserve">also produced the longest shoots, most leaves, largest leaf areas, and</w:t>
      </w:r>
      <w:r>
        <w:t xml:space="preserve"> </w:t>
      </w:r>
      <w:r>
        <w:t xml:space="preserve">highest survival rates at 87.5%. Treatment 3 (Carbonized Rice Hull)</w:t>
      </w:r>
      <w:r>
        <w:t xml:space="preserve"> </w:t>
      </w:r>
      <w:r>
        <w:t xml:space="preserve">showed moderate growth improvement, while Treatments 1 (Topsoil only)</w:t>
      </w:r>
      <w:r>
        <w:t xml:space="preserve"> </w:t>
      </w:r>
      <w:r>
        <w:t xml:space="preserve">and 5 (Biochar) performed poorly in most parameters,</w:t>
      </w:r>
      <w:r>
        <w:t xml:space="preserve"> </w:t>
      </w:r>
      <w:r>
        <w:rPr>
          <w:strike/>
          <w:bCs/>
          <w:b/>
        </w:rPr>
        <w:t xml:space="preserve">indicating</w:t>
      </w:r>
      <w:r>
        <w:t xml:space="preserve"> </w:t>
      </w:r>
      <w:r>
        <w:t xml:space="preserve">(FP-Gen) limited benefits. Throughout the study, plants in Treatments 2</w:t>
      </w:r>
      <w:r>
        <w:t xml:space="preserve"> </w:t>
      </w:r>
      <w:r>
        <w:t xml:space="preserve">and 4 exhibited more vigorous and healthier growth, with well-developed</w:t>
      </w:r>
      <w:r>
        <w:t xml:space="preserve"> </w:t>
      </w:r>
      <w:r>
        <w:t xml:space="preserve">roots, expanded foliage, and stable shoot formation. The positive</w:t>
      </w:r>
      <w:r>
        <w:t xml:space="preserve"> </w:t>
      </w:r>
      <w:r>
        <w:t xml:space="preserve">effects of rice hull and vermicompost were attributed to better nutrient</w:t>
      </w:r>
      <w:r>
        <w:t xml:space="preserve"> </w:t>
      </w:r>
      <w:r>
        <w:t xml:space="preserve">availability, improved soil aeration, enhanced microbial activity, and</w:t>
      </w:r>
      <w:r>
        <w:t xml:space="preserve"> </w:t>
      </w:r>
      <w:r>
        <w:t xml:space="preserve">more efficient moisture retention. In conclusion, the use of rice hull</w:t>
      </w:r>
      <w:r>
        <w:t xml:space="preserve"> </w:t>
      </w:r>
      <w:r>
        <w:t xml:space="preserve">and vermicompost significantly enhanced the growth and survival of</w:t>
      </w:r>
      <w:r>
        <w:t xml:space="preserve"> </w:t>
      </w:r>
      <w:r>
        <w:t xml:space="preserve">Adansonii. These findings highlight their</w:t>
      </w:r>
      <w:r>
        <w:t xml:space="preserve"> </w:t>
      </w:r>
      <w:r>
        <w:rPr>
          <w:bCs/>
          <w:b/>
        </w:rPr>
        <w:t xml:space="preserve">potential (EC)</w:t>
      </w:r>
      <w:r>
        <w:t xml:space="preserve"> </w:t>
      </w:r>
      <w:r>
        <w:t xml:space="preserve">as</w:t>
      </w:r>
      <w:r>
        <w:t xml:space="preserve"> </w:t>
      </w:r>
      <w:r>
        <w:t xml:space="preserve">effective, low-cost, and sustainable soil amendments for ornamental and</w:t>
      </w:r>
      <w:r>
        <w:t xml:space="preserve"> </w:t>
      </w:r>
      <w:r>
        <w:t xml:space="preserve">horticultural cultivation, offering practical options for growers</w:t>
      </w:r>
      <w:r>
        <w:t xml:space="preserve"> </w:t>
      </w:r>
      <w:r>
        <w:t xml:space="preserve">seeking eco-friendly methods to improve plant performance.</w:t>
      </w:r>
    </w:p>
    <w:p>
      <w:pPr>
        <w:pStyle w:val="BodyText"/>
      </w:pPr>
      <w:r>
        <w:rPr>
          <w:bCs/>
          <w:b/>
        </w:rPr>
        <w:t xml:space="preserve">Acs7 · 207 words · 1 hedges · 0.48 per 100 words</w:t>
      </w:r>
    </w:p>
    <w:p>
      <w:pPr>
        <w:pStyle w:val="BodyText"/>
      </w:pPr>
      <w:r>
        <w:t xml:space="preserve">The study was conducted to determine the growth and yield performance of</w:t>
      </w:r>
      <w:r>
        <w:t xml:space="preserve"> </w:t>
      </w:r>
      <w:r>
        <w:t xml:space="preserve">eggplant applied with Grower’s Bet 1000+ Foliar Fertilizer, Pampanga,</w:t>
      </w:r>
      <w:r>
        <w:t xml:space="preserve"> </w:t>
      </w:r>
      <w:r>
        <w:t xml:space="preserve">From November to April 2024. The experimental area was laid out using</w:t>
      </w:r>
      <w:r>
        <w:t xml:space="preserve"> </w:t>
      </w:r>
      <w:r>
        <w:t xml:space="preserve">Randomized Complete Block Design (RCBD) there were three replications.</w:t>
      </w:r>
      <w:r>
        <w:t xml:space="preserve"> </w:t>
      </w:r>
      <w:r>
        <w:t xml:space="preserve">The treatment are as follows: T0-Control; T1-Soil analysis; T2-250ml per</w:t>
      </w:r>
      <w:r>
        <w:t xml:space="preserve"> </w:t>
      </w:r>
      <w:r>
        <w:t xml:space="preserve">16L Foliar Fertilizer; T3-500ml per 16L Foliar Fertilizer and T4 - 750ml</w:t>
      </w:r>
      <w:r>
        <w:t xml:space="preserve"> </w:t>
      </w:r>
      <w:r>
        <w:t xml:space="preserve">per 16L Foliar Fertilizer. This study aimed to investigate the impact of</w:t>
      </w:r>
      <w:r>
        <w:t xml:space="preserve"> </w:t>
      </w:r>
      <w:r>
        <w:t xml:space="preserve">different Grower’s Bet 1000+ Foliar Fertilizer treatments on the growth</w:t>
      </w:r>
      <w:r>
        <w:t xml:space="preserve"> </w:t>
      </w:r>
      <w:r>
        <w:t xml:space="preserve">and yield of eggplants. The findings revealed that the application of</w:t>
      </w:r>
      <w:r>
        <w:t xml:space="preserve"> </w:t>
      </w:r>
      <w:r>
        <w:t xml:space="preserve">Foliar Fertilizer did not significantly affect the timing of flowering</w:t>
      </w:r>
      <w:r>
        <w:t xml:space="preserve"> </w:t>
      </w:r>
      <w:r>
        <w:t xml:space="preserve">in eggplants, as all treatments, including the control, exhibited the</w:t>
      </w:r>
      <w:r>
        <w:t xml:space="preserve"> </w:t>
      </w:r>
      <w:r>
        <w:t xml:space="preserve">same average number of days until flowering. However, when it came to</w:t>
      </w:r>
      <w:r>
        <w:t xml:space="preserve"> </w:t>
      </w:r>
      <w:r>
        <w:t xml:space="preserve">plant height at harvest, the Grower’s Bet 1000+ Foliar Fertilizer (T2)</w:t>
      </w:r>
      <w:r>
        <w:t xml:space="preserve"> </w:t>
      </w:r>
      <w:r>
        <w:t xml:space="preserve">250 ml per 16L as the most effective treatment, resulting in the tallest</w:t>
      </w:r>
      <w:r>
        <w:t xml:space="preserve"> </w:t>
      </w:r>
      <w:r>
        <w:t xml:space="preserve">average plant height compared to the control and other treatments. This</w:t>
      </w:r>
      <w:r>
        <w:t xml:space="preserve"> </w:t>
      </w:r>
      <w:r>
        <w:t xml:space="preserve">notable increase in plant height</w:t>
      </w:r>
      <w:r>
        <w:t xml:space="preserve"> </w:t>
      </w:r>
      <w:r>
        <w:rPr>
          <w:bCs/>
          <w:b/>
        </w:rPr>
        <w:t xml:space="preserve">can (EC)</w:t>
      </w:r>
      <w:r>
        <w:t xml:space="preserve"> </w:t>
      </w:r>
      <w:r>
        <w:t xml:space="preserve">be attributed to the</w:t>
      </w:r>
      <w:r>
        <w:t xml:space="preserve"> </w:t>
      </w:r>
      <w:r>
        <w:t xml:space="preserve">nutrient-rich content of GB 1000+ FF, which enhances soil conditions and</w:t>
      </w:r>
      <w:r>
        <w:t xml:space="preserve"> </w:t>
      </w:r>
      <w:r>
        <w:t xml:space="preserve">facilitates better nutrient availability. In GB 1000+ FF contributed to</w:t>
      </w:r>
      <w:r>
        <w:t xml:space="preserve"> </w:t>
      </w:r>
      <w:r>
        <w:t xml:space="preserve">vigorous vegetative growth and ultimately led to taller eggplant plants.</w:t>
      </w:r>
    </w:p>
    <w:p>
      <w:pPr>
        <w:pStyle w:val="BodyText"/>
      </w:pPr>
      <w:r>
        <w:rPr>
          <w:bCs/>
          <w:b/>
        </w:rPr>
        <w:t xml:space="preserve">Acs8 · 164 words · 0 hedges · 0.0 per 100 words</w:t>
      </w:r>
    </w:p>
    <w:p>
      <w:pPr>
        <w:pStyle w:val="BodyText"/>
      </w:pPr>
      <w:r>
        <w:t xml:space="preserve">The study on the performance of eggplant applied with different methods</w:t>
      </w:r>
      <w:r>
        <w:t xml:space="preserve"> </w:t>
      </w:r>
      <w:r>
        <w:t xml:space="preserve">of Kuhol Amino Acid Application was conducted at Lapaz , Magalang</w:t>
      </w:r>
      <w:r>
        <w:t xml:space="preserve"> </w:t>
      </w:r>
      <w:r>
        <w:t xml:space="preserve">Pampanga, from December 2024 to March 2024 . The Mucho F1 eggplant</w:t>
      </w:r>
      <w:r>
        <w:t xml:space="preserve"> </w:t>
      </w:r>
      <w:r>
        <w:t xml:space="preserve">variety was used as an experimental crop in the study. The experiment</w:t>
      </w:r>
      <w:r>
        <w:t xml:space="preserve"> </w:t>
      </w:r>
      <w:r>
        <w:t xml:space="preserve">was laid out following Randomized Complete Block Design (RCBD) with</w:t>
      </w:r>
      <w:r>
        <w:t xml:space="preserve"> </w:t>
      </w:r>
      <w:r>
        <w:t xml:space="preserve">three replications and four treatments, namely: T1 – Negative Control</w:t>
      </w:r>
      <w:r>
        <w:t xml:space="preserve"> </w:t>
      </w:r>
      <w:r>
        <w:t xml:space="preserve">T2 – Foliar Application of Kuhol Amino Acid; T3 – Drenching</w:t>
      </w:r>
      <w:r>
        <w:t xml:space="preserve"> </w:t>
      </w:r>
      <w:r>
        <w:t xml:space="preserve">Application of Kuhol Amino Acid; T4 – Inorganic Fertilizer (RR). Based</w:t>
      </w:r>
      <w:r>
        <w:t xml:space="preserve"> </w:t>
      </w:r>
      <w:r>
        <w:t xml:space="preserve">on the results,</w:t>
      </w:r>
      <w:r>
        <w:t xml:space="preserve"> </w:t>
      </w:r>
      <w:r>
        <w:rPr>
          <w:bCs/>
          <w:b/>
        </w:rPr>
        <w:t xml:space="preserve">there was no significant difference among the</w:t>
      </w:r>
      <w:r>
        <w:rPr>
          <w:bCs/>
          <w:b/>
        </w:rPr>
        <w:t xml:space="preserve"> </w:t>
      </w:r>
      <w:r>
        <w:rPr>
          <w:bCs/>
          <w:b/>
        </w:rPr>
        <w:t xml:space="preserve">different methods of kuhol amino acid app in terms of plant height</w:t>
      </w:r>
      <w:r>
        <w:rPr>
          <w:bCs/>
          <w:b/>
        </w:rPr>
        <w:t xml:space="preserve"> </w:t>
      </w:r>
      <w:r>
        <w:rPr>
          <w:bCs/>
          <w:b/>
        </w:rPr>
        <w:t xml:space="preserve">[R]</w:t>
      </w:r>
      <w:r>
        <w:t xml:space="preserve">, weight of marketable and weight of non-marketable fruit, number</w:t>
      </w:r>
      <w:r>
        <w:t xml:space="preserve"> </w:t>
      </w:r>
      <w:r>
        <w:t xml:space="preserve">of marketable and non-marketable fruits, and computed yield.</w:t>
      </w:r>
      <w:r>
        <w:t xml:space="preserve"> </w:t>
      </w:r>
      <w:r>
        <w:rPr>
          <w:bCs/>
          <w:b/>
        </w:rPr>
        <w:t xml:space="preserve">Different</w:t>
      </w:r>
      <w:r>
        <w:rPr>
          <w:bCs/>
          <w:b/>
        </w:rPr>
        <w:t xml:space="preserve"> </w:t>
      </w:r>
      <w:r>
        <w:rPr>
          <w:bCs/>
          <w:b/>
        </w:rPr>
        <w:t xml:space="preserve">methods of kuhol amino acid application influenced the plant height,</w:t>
      </w:r>
      <w:r>
        <w:rPr>
          <w:bCs/>
          <w:b/>
        </w:rPr>
        <w:t xml:space="preserve"> </w:t>
      </w:r>
      <w:r>
        <w:rPr>
          <w:bCs/>
          <w:b/>
        </w:rPr>
        <w:t xml:space="preserve">weight of fruits, number of marketable and non-marketable fruits, and</w:t>
      </w:r>
      <w:r>
        <w:rPr>
          <w:bCs/>
          <w:b/>
        </w:rPr>
        <w:t xml:space="preserve"> </w:t>
      </w:r>
      <w:r>
        <w:rPr>
          <w:bCs/>
          <w:b/>
        </w:rPr>
        <w:t xml:space="preserve">computed yield [G]</w:t>
      </w:r>
      <w:r>
        <w:t xml:space="preserve">. The researcher</w:t>
      </w:r>
      <w:r>
        <w:t xml:space="preserve"> </w:t>
      </w:r>
      <w:r>
        <w:rPr>
          <w:strike/>
          <w:bCs/>
          <w:b/>
        </w:rPr>
        <w:t xml:space="preserve">recommends</w:t>
      </w:r>
      <w:r>
        <w:t xml:space="preserve"> </w:t>
      </w:r>
      <w:r>
        <w:t xml:space="preserve">(FP-Rec)</w:t>
      </w:r>
      <w:r>
        <w:t xml:space="preserve"> </w:t>
      </w:r>
      <w:r>
        <w:t xml:space="preserve">foliar and drenching application of kuhol amino acid. because,</w:t>
      </w:r>
      <w:r>
        <w:t xml:space="preserve"> </w:t>
      </w:r>
      <w:r>
        <w:t xml:space="preserve">numerically, it consistently produced the highest yield performance.</w:t>
      </w:r>
    </w:p>
    <w:p>
      <w:pPr>
        <w:pStyle w:val="BodyText"/>
      </w:pPr>
      <w:r>
        <w:rPr>
          <w:bCs/>
          <w:b/>
        </w:rPr>
        <w:t xml:space="preserve">Acs9 · 170 words · 2 hedges · 1.18 per 100 words</w:t>
      </w:r>
    </w:p>
    <w:p>
      <w:pPr>
        <w:pStyle w:val="BodyText"/>
      </w:pPr>
      <w:r>
        <w:t xml:space="preserve">A field experiment was conducted from December 2024 to January 2025 in</w:t>
      </w:r>
      <w:r>
        <w:t xml:space="preserve"> </w:t>
      </w:r>
      <w:r>
        <w:t xml:space="preserve">Mitla Proper, Porac, Pampanga, to evaluate the effects of varying</w:t>
      </w:r>
      <w:r>
        <w:t xml:space="preserve"> </w:t>
      </w:r>
      <w:r>
        <w:t xml:space="preserve">soaking durations in Azospirillum spp. biofertilizer on the early growth</w:t>
      </w:r>
      <w:r>
        <w:t xml:space="preserve"> </w:t>
      </w:r>
      <w:r>
        <w:t xml:space="preserve">and development of sugarcane (Saccharum officinarum) setts. The study</w:t>
      </w:r>
      <w:r>
        <w:t xml:space="preserve"> </w:t>
      </w:r>
      <w:r>
        <w:t xml:space="preserve">employed a Randomized Complete Block Design (RCBD) with four treatments:</w:t>
      </w:r>
      <w:r>
        <w:t xml:space="preserve"> </w:t>
      </w:r>
      <w:r>
        <w:t xml:space="preserve">T1 (24-hour water soak, control), T2 (24-hour Azospirillum spp. soak),</w:t>
      </w:r>
      <w:r>
        <w:t xml:space="preserve"> </w:t>
      </w:r>
      <w:r>
        <w:t xml:space="preserve">T3 (20-hour Azospirillum spp. soak), and T4 (16-hour Azospirillum spp.</w:t>
      </w:r>
      <w:r>
        <w:t xml:space="preserve"> </w:t>
      </w:r>
      <w:r>
        <w:t xml:space="preserve">soak), each replicated three times. Parameters assessed included</w:t>
      </w:r>
      <w:r>
        <w:t xml:space="preserve"> </w:t>
      </w:r>
      <w:r>
        <w:t xml:space="preserve">percentage of survival, root elongation rate, root area, fresh root and</w:t>
      </w:r>
      <w:r>
        <w:t xml:space="preserve"> </w:t>
      </w:r>
      <w:r>
        <w:t xml:space="preserve">shoot biomass, and root-to-shoot ratio. Results indicated that the</w:t>
      </w:r>
      <w:r>
        <w:t xml:space="preserve"> </w:t>
      </w:r>
      <w:r>
        <w:t xml:space="preserve">24-hour Azospirillum spp. treatment (T2) significantly enhanced survival</w:t>
      </w:r>
      <w:r>
        <w:t xml:space="preserve"> </w:t>
      </w:r>
      <w:r>
        <w:t xml:space="preserve">rates on Days 8 and 11, root elongation rate, root area, fresh root and</w:t>
      </w:r>
      <w:r>
        <w:t xml:space="preserve"> </w:t>
      </w:r>
      <w:r>
        <w:t xml:space="preserve">shoot biomass, compared to the control. However, no significant</w:t>
      </w:r>
      <w:r>
        <w:t xml:space="preserve"> </w:t>
      </w:r>
      <w:r>
        <w:t xml:space="preserve">differences were observed in root-to-shoot ratio among the treatments.</w:t>
      </w:r>
      <w:r>
        <w:t xml:space="preserve"> </w:t>
      </w:r>
      <w:r>
        <w:t xml:space="preserve">These findings</w:t>
      </w:r>
      <w:r>
        <w:t xml:space="preserve"> </w:t>
      </w:r>
      <w:r>
        <w:rPr>
          <w:bCs/>
          <w:b/>
        </w:rPr>
        <w:t xml:space="preserve">suggest (EC)</w:t>
      </w:r>
      <w:r>
        <w:t xml:space="preserve"> </w:t>
      </w:r>
      <w:r>
        <w:t xml:space="preserve">that soaking sugarcane setts in</w:t>
      </w:r>
      <w:r>
        <w:t xml:space="preserve"> </w:t>
      </w:r>
      <w:r>
        <w:t xml:space="preserve">Azospirillum spp. biofertilizer for 24 hours</w:t>
      </w:r>
      <w:r>
        <w:t xml:space="preserve"> </w:t>
      </w:r>
      <w:r>
        <w:rPr>
          <w:bCs/>
          <w:b/>
        </w:rPr>
        <w:t xml:space="preserve">can (EC)</w:t>
      </w:r>
      <w:r>
        <w:t xml:space="preserve"> </w:t>
      </w:r>
      <w:r>
        <w:t xml:space="preserve">effectively</w:t>
      </w:r>
      <w:r>
        <w:t xml:space="preserve"> </w:t>
      </w:r>
      <w:r>
        <w:t xml:space="preserve">promote early growth by enhancing root development and biomass</w:t>
      </w:r>
      <w:r>
        <w:t xml:space="preserve"> </w:t>
      </w:r>
      <w:r>
        <w:t xml:space="preserve">accumulation, thereby supporting improved propagation success.</w:t>
      </w:r>
    </w:p>
    <w:p>
      <w:pPr>
        <w:pStyle w:val="BodyText"/>
      </w:pPr>
      <w:r>
        <w:rPr>
          <w:bCs/>
          <w:b/>
        </w:rPr>
        <w:t xml:space="preserve">Acs10 · 246 words · 0 hedges · 0.0 per 100 words</w:t>
      </w:r>
    </w:p>
    <w:p>
      <w:pPr>
        <w:pStyle w:val="BodyText"/>
      </w:pPr>
      <w:r>
        <w:t xml:space="preserve">The field study was conducted from January 2023 to April 2023 at</w:t>
      </w:r>
      <w:r>
        <w:t xml:space="preserve"> </w:t>
      </w:r>
      <w:r>
        <w:t xml:space="preserve">Parulung, Concepcion, and Tarlac to evaluate the performance of rice as</w:t>
      </w:r>
      <w:r>
        <w:t xml:space="preserve"> </w:t>
      </w:r>
      <w:r>
        <w:t xml:space="preserve">supplemented with foliar fertilizer. The experimental design used is a</w:t>
      </w:r>
      <w:r>
        <w:t xml:space="preserve"> </w:t>
      </w:r>
      <w:r>
        <w:t xml:space="preserve">randomized complete block design (RCBD) with three treatments replicated</w:t>
      </w:r>
      <w:r>
        <w:t xml:space="preserve"> </w:t>
      </w:r>
      <w:r>
        <w:t xml:space="preserve">three times. The following treatments were used: T1: recommended rate of</w:t>
      </w:r>
      <w:r>
        <w:t xml:space="preserve"> </w:t>
      </w:r>
      <w:r>
        <w:t xml:space="preserve">NPK based on soil analysis; T2: recommended rate of NPK + 19-19-19; and</w:t>
      </w:r>
      <w:r>
        <w:t xml:space="preserve"> </w:t>
      </w:r>
      <w:r>
        <w:t xml:space="preserve">T3: recommended rate of NPK + 14-14-14. The results of the study</w:t>
      </w:r>
      <w:r>
        <w:t xml:space="preserve"> </w:t>
      </w:r>
      <w:r>
        <w:t xml:space="preserve">revealed the following:</w:t>
      </w:r>
      <w:r>
        <w:t xml:space="preserve"> </w:t>
      </w:r>
      <w:r>
        <w:rPr>
          <w:bCs/>
          <w:b/>
        </w:rPr>
        <w:t xml:space="preserve">a significant difference was observed in the</w:t>
      </w:r>
      <w:r>
        <w:rPr>
          <w:bCs/>
          <w:b/>
        </w:rPr>
        <w:t xml:space="preserve"> </w:t>
      </w:r>
      <w:r>
        <w:rPr>
          <w:bCs/>
          <w:b/>
        </w:rPr>
        <w:t xml:space="preserve">number of productive tillers, actual yield per sample area, and computed</w:t>
      </w:r>
      <w:r>
        <w:rPr>
          <w:bCs/>
          <w:b/>
        </w:rPr>
        <w:t xml:space="preserve"> </w:t>
      </w:r>
      <w:r>
        <w:rPr>
          <w:bCs/>
          <w:b/>
        </w:rPr>
        <w:t xml:space="preserve">yield per ton/ha [R]</w:t>
      </w:r>
      <w:r>
        <w:t xml:space="preserve">. No significant differences were observed in</w:t>
      </w:r>
      <w:r>
        <w:t xml:space="preserve"> </w:t>
      </w:r>
      <w:r>
        <w:t xml:space="preserve">terms of the number of days from transplanting to flowering, plant</w:t>
      </w:r>
      <w:r>
        <w:t xml:space="preserve"> </w:t>
      </w:r>
      <w:r>
        <w:t xml:space="preserve">height, number of unproductive tillers, length of panicle, number of</w:t>
      </w:r>
      <w:r>
        <w:t xml:space="preserve"> </w:t>
      </w:r>
      <w:r>
        <w:t xml:space="preserve">filled grains, number of unfilled grains, and weight of 1,000 seeds. In</w:t>
      </w:r>
      <w:r>
        <w:t xml:space="preserve"> </w:t>
      </w:r>
      <w:r>
        <w:t xml:space="preserve">conclusion,</w:t>
      </w:r>
      <w:r>
        <w:t xml:space="preserve"> </w:t>
      </w:r>
      <w:r>
        <w:rPr>
          <w:bCs/>
          <w:b/>
        </w:rPr>
        <w:t xml:space="preserve">T3: NPK+14-14-14 was the most compelling treatment among</w:t>
      </w:r>
      <w:r>
        <w:rPr>
          <w:bCs/>
          <w:b/>
        </w:rPr>
        <w:t xml:space="preserve"> </w:t>
      </w:r>
      <w:r>
        <w:rPr>
          <w:bCs/>
          <w:b/>
        </w:rPr>
        <w:t xml:space="preserve">all treatments in terms of producing the highest number of productive</w:t>
      </w:r>
      <w:r>
        <w:rPr>
          <w:bCs/>
          <w:b/>
        </w:rPr>
        <w:t xml:space="preserve"> </w:t>
      </w:r>
      <w:r>
        <w:rPr>
          <w:bCs/>
          <w:b/>
        </w:rPr>
        <w:t xml:space="preserve">tillers and obtaining the heaviest yield per ton/ha [G]</w:t>
      </w:r>
      <w:r>
        <w:t xml:space="preserve">. Cost and</w:t>
      </w:r>
      <w:r>
        <w:t xml:space="preserve"> </w:t>
      </w:r>
      <w:r>
        <w:t xml:space="preserve">return analysis revealed that T3: NPK+14-14-14 had the second lowest</w:t>
      </w:r>
      <w:r>
        <w:t xml:space="preserve"> </w:t>
      </w:r>
      <w:r>
        <w:t xml:space="preserve">cost of production but had the highest net income, with a corresponding</w:t>
      </w:r>
      <w:r>
        <w:t xml:space="preserve"> </w:t>
      </w:r>
      <w:r>
        <w:t xml:space="preserve">amount of Php 66,089 and an ROI of 97.53%. On the other hand,</w:t>
      </w:r>
      <w:r>
        <w:t xml:space="preserve"> </w:t>
      </w:r>
      <w:r>
        <w:t xml:space="preserve">insignificant differences were noted in terms of the number of days from</w:t>
      </w:r>
      <w:r>
        <w:t xml:space="preserve"> </w:t>
      </w:r>
      <w:r>
        <w:t xml:space="preserve">transplanting to flowering, plant height, number of unproductive</w:t>
      </w:r>
      <w:r>
        <w:t xml:space="preserve"> </w:t>
      </w:r>
      <w:r>
        <w:t xml:space="preserve">tillers, length of panicle, number of filled grains, number of unfilled</w:t>
      </w:r>
      <w:r>
        <w:t xml:space="preserve"> </w:t>
      </w:r>
      <w:r>
        <w:t xml:space="preserve">grains, and weight of 1,000 seeds.</w:t>
      </w:r>
    </w:p>
    <w:p>
      <w:pPr>
        <w:pStyle w:val="BodyText"/>
      </w:pPr>
      <w:r>
        <w:rPr>
          <w:bCs/>
          <w:b/>
        </w:rPr>
        <w:t xml:space="preserve">Agriculture, Animal Science (Aas1–Aas10)</w:t>
      </w:r>
    </w:p>
    <w:p>
      <w:pPr>
        <w:pStyle w:val="BodyText"/>
      </w:pPr>
      <w:r>
        <w:rPr>
          <w:bCs/>
          <w:b/>
        </w:rPr>
        <w:t xml:space="preserve">Aas1 · 203 words · 0 hedges · 0.0 per 100 words</w:t>
      </w:r>
    </w:p>
    <w:p>
      <w:pPr>
        <w:pStyle w:val="BodyText"/>
      </w:pPr>
      <w:r>
        <w:t xml:space="preserve">The field was conducted for 35 days from April 6, to May 10, 2023 in</w:t>
      </w:r>
      <w:r>
        <w:t xml:space="preserve"> </w:t>
      </w:r>
      <w:r>
        <w:t xml:space="preserve">Sitio. Mapaco, Talimundoc Marimla Concepcion, and Tarlac to determine</w:t>
      </w:r>
      <w:r>
        <w:t xml:space="preserve"> </w:t>
      </w:r>
      <w:r>
        <w:t xml:space="preserve">the effect of feeding para grass mixed with varying levels of Gmelina</w:t>
      </w:r>
      <w:r>
        <w:t xml:space="preserve"> </w:t>
      </w:r>
      <w:r>
        <w:t xml:space="preserve">arborea on the growth performance of rabbits. The experimental design</w:t>
      </w:r>
      <w:r>
        <w:t xml:space="preserve"> </w:t>
      </w:r>
      <w:r>
        <w:t xml:space="preserve">used was a randomized complete block design (RCBD) with three treatments</w:t>
      </w:r>
      <w:r>
        <w:t xml:space="preserve"> </w:t>
      </w:r>
      <w:r>
        <w:t xml:space="preserve">replicated three times. The following treatments were used: T1</w:t>
      </w:r>
      <w:r>
        <w:t xml:space="preserve"> </w:t>
      </w:r>
      <w:r>
        <w:t xml:space="preserve">([Control] 60% Para grass + 40% Concentrate Feeds), T2 (20% GA</w:t>
      </w:r>
      <w:r>
        <w:t xml:space="preserve"> </w:t>
      </w:r>
      <w:r>
        <w:t xml:space="preserve">Leaves + 40% Para grass + 40% Concentrate Feeds), and T3 (30% GA</w:t>
      </w:r>
      <w:r>
        <w:t xml:space="preserve"> </w:t>
      </w:r>
      <w:r>
        <w:t xml:space="preserve">Leaves + 30% Para grass + 40% Concentrate Feeds). The results of the</w:t>
      </w:r>
      <w:r>
        <w:t xml:space="preserve"> </w:t>
      </w:r>
      <w:r>
        <w:t xml:space="preserve">study revealed the following:</w:t>
      </w:r>
      <w:r>
        <w:t xml:space="preserve"> </w:t>
      </w:r>
      <w:r>
        <w:rPr>
          <w:bCs/>
          <w:b/>
        </w:rPr>
        <w:t xml:space="preserve">No significant differences were observed</w:t>
      </w:r>
      <w:r>
        <w:rPr>
          <w:bCs/>
          <w:b/>
        </w:rPr>
        <w:t xml:space="preserve"> </w:t>
      </w:r>
      <w:r>
        <w:rPr>
          <w:bCs/>
          <w:b/>
        </w:rPr>
        <w:t xml:space="preserve">in terms of mean initial weight (kg), mean final weight (kg) [R]</w:t>
      </w:r>
      <w:r>
        <w:t xml:space="preserve">,</w:t>
      </w:r>
      <w:r>
        <w:t xml:space="preserve"> </w:t>
      </w:r>
      <w:r>
        <w:t xml:space="preserve">mean gain in weight (kg), mean DM intake (kg), or feed conversion ratio.</w:t>
      </w:r>
      <w:r>
        <w:t xml:space="preserve"> </w:t>
      </w:r>
      <w:r>
        <w:rPr>
          <w:bCs/>
          <w:b/>
        </w:rPr>
        <w:t xml:space="preserve">The student researcher concluded that T2 (20% GA Leaves + 40%</w:t>
      </w:r>
      <w:r>
        <w:rPr>
          <w:bCs/>
          <w:b/>
        </w:rPr>
        <w:t xml:space="preserve"> </w:t>
      </w:r>
      <w:r>
        <w:rPr>
          <w:bCs/>
          <w:b/>
        </w:rPr>
        <w:t xml:space="preserve">Paragrass + 40% Concentrate Feeds) was the most compelling treatment</w:t>
      </w:r>
      <w:r>
        <w:rPr>
          <w:bCs/>
          <w:b/>
        </w:rPr>
        <w:t xml:space="preserve"> </w:t>
      </w:r>
      <w:r>
        <w:rPr>
          <w:bCs/>
          <w:b/>
        </w:rPr>
        <w:t xml:space="preserve">among all treatments for the rabbits in terms of outperforming the data</w:t>
      </w:r>
      <w:r>
        <w:rPr>
          <w:bCs/>
          <w:b/>
        </w:rPr>
        <w:t xml:space="preserve"> </w:t>
      </w:r>
      <w:r>
        <w:rPr>
          <w:bCs/>
          <w:b/>
        </w:rPr>
        <w:t xml:space="preserve">numerically [G]</w:t>
      </w:r>
      <w:r>
        <w:t xml:space="preserve">. The 20% Gmelina arborea + 40% Para grass + 40%</w:t>
      </w:r>
      <w:r>
        <w:t xml:space="preserve"> </w:t>
      </w:r>
      <w:r>
        <w:t xml:space="preserve">Concentrate Feeds greatly contributed to performances in terms of</w:t>
      </w:r>
      <w:r>
        <w:t xml:space="preserve"> </w:t>
      </w:r>
      <w:r>
        <w:t xml:space="preserve">obtaining the highest mean final weight, mean gain in weight, and</w:t>
      </w:r>
      <w:r>
        <w:t xml:space="preserve"> </w:t>
      </w:r>
      <w:r>
        <w:t xml:space="preserve">highest net income.</w:t>
      </w:r>
    </w:p>
    <w:p>
      <w:pPr>
        <w:pStyle w:val="BodyText"/>
      </w:pPr>
      <w:r>
        <w:rPr>
          <w:bCs/>
          <w:b/>
        </w:rPr>
        <w:t xml:space="preserve">Aas2 · 182 words · 0 hedges · 0.0 per 100 words</w:t>
      </w:r>
    </w:p>
    <w:p>
      <w:pPr>
        <w:pStyle w:val="BodyText"/>
      </w:pPr>
      <w:r>
        <w:t xml:space="preserve">To evaluate the effectiveness of treating Pekin ducks with fermented</w:t>
      </w:r>
      <w:r>
        <w:t xml:space="preserve"> </w:t>
      </w:r>
      <w:r>
        <w:t xml:space="preserve">okara extract (Glycine max) and track the growth of the ducks during the</w:t>
      </w:r>
      <w:r>
        <w:t xml:space="preserve"> </w:t>
      </w:r>
      <w:r>
        <w:t xml:space="preserve">study. From first day up to last day of the study was carried out at the</w:t>
      </w:r>
      <w:r>
        <w:t xml:space="preserve"> </w:t>
      </w:r>
      <w:r>
        <w:t xml:space="preserve">Poultry Project of Pampanga State Agricultural University (PSAU),</w:t>
      </w:r>
      <w:r>
        <w:t xml:space="preserve"> </w:t>
      </w:r>
      <w:r>
        <w:t xml:space="preserve">located in Magalang, Pampanga. Ninety heads of week-old Pekin Duck were</w:t>
      </w:r>
      <w:r>
        <w:t xml:space="preserve"> </w:t>
      </w:r>
      <w:r>
        <w:t xml:space="preserve">used in the study in a single factor experiment arranged in Complete</w:t>
      </w:r>
      <w:r>
        <w:t xml:space="preserve"> </w:t>
      </w:r>
      <w:r>
        <w:t xml:space="preserve">Randomized Design (CRD). There were (3) three treatments, replicated</w:t>
      </w:r>
      <w:r>
        <w:t xml:space="preserve"> </w:t>
      </w:r>
      <w:r>
        <w:t xml:space="preserve">three (3) times with ten (10) birds per replication. The researcher</w:t>
      </w:r>
      <w:r>
        <w:t xml:space="preserve"> </w:t>
      </w:r>
      <w:r>
        <w:t xml:space="preserve">performed a one-way analysis of variance (ANOVA) on the gathered data.</w:t>
      </w:r>
      <w:r>
        <w:t xml:space="preserve"> </w:t>
      </w:r>
      <w:r>
        <w:t xml:space="preserve">The average daily gain, feed conversion ratio, mean weight gain, mean</w:t>
      </w:r>
      <w:r>
        <w:t xml:space="preserve"> </w:t>
      </w:r>
      <w:r>
        <w:t xml:space="preserve">feed consumption, and mean water intake all influenced the overall</w:t>
      </w:r>
      <w:r>
        <w:t xml:space="preserve"> </w:t>
      </w:r>
      <w:r>
        <w:t xml:space="preserve">growth performance, according to the results. Fermented okara extract</w:t>
      </w:r>
      <w:r>
        <w:t xml:space="preserve"> </w:t>
      </w:r>
      <w:r>
        <w:t xml:space="preserve">was ingested through drinking water. But when it came to mean ultimate</w:t>
      </w:r>
      <w:r>
        <w:t xml:space="preserve"> </w:t>
      </w:r>
      <w:r>
        <w:t xml:space="preserve">weight in the treated birds,</w:t>
      </w:r>
      <w:r>
        <w:t xml:space="preserve"> </w:t>
      </w:r>
      <w:r>
        <w:rPr>
          <w:bCs/>
          <w:b/>
        </w:rPr>
        <w:t xml:space="preserve">the fermented okara extract had the</w:t>
      </w:r>
      <w:r>
        <w:rPr>
          <w:bCs/>
          <w:b/>
        </w:rPr>
        <w:t xml:space="preserve"> </w:t>
      </w:r>
      <w:r>
        <w:rPr>
          <w:bCs/>
          <w:b/>
        </w:rPr>
        <w:t xml:space="preserve">biggest impact, resulting in the heaviest weight [C]</w:t>
      </w:r>
      <w:r>
        <w:t xml:space="preserve">. Additionally,</w:t>
      </w:r>
      <w:r>
        <w:t xml:space="preserve"> </w:t>
      </w:r>
      <w:r>
        <w:rPr>
          <w:bCs/>
          <w:b/>
        </w:rPr>
        <w:t xml:space="preserve">the total return result showed a promising future for fermented okara</w:t>
      </w:r>
      <w:r>
        <w:rPr>
          <w:bCs/>
          <w:b/>
        </w:rPr>
        <w:t xml:space="preserve"> </w:t>
      </w:r>
      <w:r>
        <w:rPr>
          <w:bCs/>
          <w:b/>
        </w:rPr>
        <w:t xml:space="preserve">extract at a level of 60 ml (166.00 PHP) [G]</w:t>
      </w:r>
      <w:r>
        <w:t xml:space="preserve">.</w:t>
      </w:r>
    </w:p>
    <w:p>
      <w:pPr>
        <w:pStyle w:val="BodyText"/>
      </w:pPr>
      <w:r>
        <w:rPr>
          <w:bCs/>
          <w:b/>
        </w:rPr>
        <w:t xml:space="preserve">Aas3 · 296 words · 2 hedges · 0.68 per 100 words</w:t>
      </w:r>
    </w:p>
    <w:p>
      <w:pPr>
        <w:pStyle w:val="BodyText"/>
      </w:pPr>
      <w:r>
        <w:t xml:space="preserve">A sixty three (63) days study was conducted to determine the growth</w:t>
      </w:r>
      <w:r>
        <w:t xml:space="preserve"> </w:t>
      </w:r>
      <w:r>
        <w:t xml:space="preserve">performance of mallard duck fed with dietary mixed ration in Barangay</w:t>
      </w:r>
      <w:r>
        <w:t xml:space="preserve"> </w:t>
      </w:r>
      <w:r>
        <w:t xml:space="preserve">Bucanan, Magalang, Pampanga. A total of ninety (90), 21 days old male</w:t>
      </w:r>
      <w:r>
        <w:t xml:space="preserve"> </w:t>
      </w:r>
      <w:r>
        <w:t xml:space="preserve">mallard duck were used in the study. A single factor experiment in</w:t>
      </w:r>
      <w:r>
        <w:t xml:space="preserve"> </w:t>
      </w:r>
      <w:r>
        <w:t xml:space="preserve">Randomized Complete Block Design (RCBD) was used in the study. Mallard</w:t>
      </w:r>
      <w:r>
        <w:t xml:space="preserve"> </w:t>
      </w:r>
      <w:r>
        <w:t xml:space="preserve">ducks were randomly divided into three (3) treatments having ten (10)</w:t>
      </w:r>
      <w:r>
        <w:t xml:space="preserve"> </w:t>
      </w:r>
      <w:r>
        <w:t xml:space="preserve">mallard ducks per treatment with three (3) replications. Treatment 1 -</w:t>
      </w:r>
      <w:r>
        <w:t xml:space="preserve"> </w:t>
      </w:r>
      <w:r>
        <w:t xml:space="preserve">commercial feeds; Treatment 2 - 50% commercial feeds and 50% rice bran</w:t>
      </w:r>
      <w:r>
        <w:t xml:space="preserve"> </w:t>
      </w:r>
      <w:r>
        <w:t xml:space="preserve">mixed with water spinach; and Treatment 3 - 50% commercial feeds and 50%</w:t>
      </w:r>
      <w:r>
        <w:t xml:space="preserve"> </w:t>
      </w:r>
      <w:r>
        <w:t xml:space="preserve">rice bran mixed with golden apple snail. Data were analyzed by using</w:t>
      </w:r>
      <w:r>
        <w:t xml:space="preserve"> </w:t>
      </w:r>
      <w:r>
        <w:t xml:space="preserve">Analyzed of Variance in RCBD through the Statistical Tool for</w:t>
      </w:r>
      <w:r>
        <w:t xml:space="preserve"> </w:t>
      </w:r>
      <w:r>
        <w:t xml:space="preserve">Agricultural Research (STAR) application. Treatments were compared using</w:t>
      </w:r>
      <w:r>
        <w:t xml:space="preserve"> </w:t>
      </w:r>
      <w:r>
        <w:t xml:space="preserve">the Least Significant Difference (LSD). The result of the study showed</w:t>
      </w:r>
      <w:r>
        <w:t xml:space="preserve"> </w:t>
      </w:r>
      <w:r>
        <w:t xml:space="preserve">in the treatments that there were no significant differences observed in</w:t>
      </w:r>
      <w:r>
        <w:t xml:space="preserve"> </w:t>
      </w:r>
      <w:r>
        <w:t xml:space="preserve">feed consumption, which</w:t>
      </w:r>
      <w:r>
        <w:t xml:space="preserve"> </w:t>
      </w:r>
      <w:r>
        <w:rPr>
          <w:bCs/>
          <w:b/>
        </w:rPr>
        <w:t xml:space="preserve">implies (EC)</w:t>
      </w:r>
      <w:r>
        <w:t xml:space="preserve"> </w:t>
      </w:r>
      <w:r>
        <w:t xml:space="preserve">that treatments were comparable</w:t>
      </w:r>
      <w:r>
        <w:t xml:space="preserve"> </w:t>
      </w:r>
      <w:r>
        <w:t xml:space="preserve">on parameters. However, final weight, gain in weight, average daily gain</w:t>
      </w:r>
      <w:r>
        <w:t xml:space="preserve"> </w:t>
      </w:r>
      <w:r>
        <w:t xml:space="preserve">in weight and feed conversion ratio had highly significance differences</w:t>
      </w:r>
      <w:r>
        <w:t xml:space="preserve"> </w:t>
      </w:r>
      <w:r>
        <w:t xml:space="preserve">at (P&lt;0.01). This indicates that ducks fed with 100% commercial feeds</w:t>
      </w:r>
      <w:r>
        <w:t xml:space="preserve"> </w:t>
      </w:r>
      <w:r>
        <w:t xml:space="preserve">rice bran mixed with golden apple snail performed better in final</w:t>
      </w:r>
      <w:r>
        <w:t xml:space="preserve"> </w:t>
      </w:r>
      <w:r>
        <w:t xml:space="preserve">weight, gain in weight, average daily gain in weight and feed conversion</w:t>
      </w:r>
      <w:r>
        <w:t xml:space="preserve"> </w:t>
      </w:r>
      <w:r>
        <w:t xml:space="preserve">ratio. In conclusion, proved the treatment 1(100% CF) are the most</w:t>
      </w:r>
      <w:r>
        <w:t xml:space="preserve"> </w:t>
      </w:r>
      <w:r>
        <w:t xml:space="preserve">efficient compared to treatment 2 where 50% commercial feeds and 50%</w:t>
      </w:r>
      <w:r>
        <w:t xml:space="preserve"> </w:t>
      </w:r>
      <w:r>
        <w:t xml:space="preserve">rice bran mixed with water spinach and treatment 3 where 50% commercial</w:t>
      </w:r>
      <w:r>
        <w:t xml:space="preserve"> </w:t>
      </w:r>
      <w:r>
        <w:t xml:space="preserve">feeds and 50% rice bran mixed with golden apple snail. It</w:t>
      </w:r>
      <w:r>
        <w:t xml:space="preserve"> </w:t>
      </w:r>
      <w:r>
        <w:rPr>
          <w:bCs/>
          <w:b/>
        </w:rPr>
        <w:t xml:space="preserve">can (EC)</w:t>
      </w:r>
      <w:r>
        <w:t xml:space="preserve"> </w:t>
      </w:r>
      <w:r>
        <w:t xml:space="preserve">also be concluded that D1 rice bran mixed with water spinach and with</w:t>
      </w:r>
      <w:r>
        <w:t xml:space="preserve"> </w:t>
      </w:r>
      <w:r>
        <w:t xml:space="preserve">golden apple snail used in the study</w:t>
      </w:r>
      <w:r>
        <w:t xml:space="preserve"> </w:t>
      </w:r>
      <w:r>
        <w:rPr>
          <w:strike/>
          <w:bCs/>
          <w:b/>
        </w:rPr>
        <w:t xml:space="preserve">can</w:t>
      </w:r>
      <w:r>
        <w:t xml:space="preserve"> </w:t>
      </w:r>
      <w:r>
        <w:t xml:space="preserve">(FP-Cap) help minimize</w:t>
      </w:r>
      <w:r>
        <w:t xml:space="preserve"> </w:t>
      </w:r>
      <w:r>
        <w:t xml:space="preserve">the cost of production, specifically the feed cost.</w:t>
      </w:r>
    </w:p>
    <w:p>
      <w:pPr>
        <w:pStyle w:val="BodyText"/>
      </w:pPr>
      <w:r>
        <w:rPr>
          <w:bCs/>
          <w:b/>
        </w:rPr>
        <w:t xml:space="preserve">Aas4 · 161 words · 1 hedges · 0.62 per 100 words</w:t>
      </w:r>
    </w:p>
    <w:p>
      <w:pPr>
        <w:pStyle w:val="BodyText"/>
      </w:pPr>
      <w:r>
        <w:t xml:space="preserve">The study was conducted for 30 days, from April 26, 2023, to May 25,</w:t>
      </w:r>
      <w:r>
        <w:t xml:space="preserve"> </w:t>
      </w:r>
      <w:r>
        <w:t xml:space="preserve">2023, at Marbea, Magalang, Pampanga. The study aimed to determine the</w:t>
      </w:r>
      <w:r>
        <w:t xml:space="preserve"> </w:t>
      </w:r>
      <w:r>
        <w:t xml:space="preserve">average initial weight, average final weight, average gain in weight,</w:t>
      </w:r>
      <w:r>
        <w:t xml:space="preserve"> </w:t>
      </w:r>
      <w:r>
        <w:t xml:space="preserve">average daily gain (ADG), average feed consumption, average feed</w:t>
      </w:r>
      <w:r>
        <w:t xml:space="preserve"> </w:t>
      </w:r>
      <w:r>
        <w:t xml:space="preserve">conversion ratio (FCR), average water consumption, and cost and return</w:t>
      </w:r>
      <w:r>
        <w:t xml:space="preserve"> </w:t>
      </w:r>
      <w:r>
        <w:t xml:space="preserve">of the study. The study used eighteen (18) F1 New Zealand rabbits at 2</w:t>
      </w:r>
      <w:r>
        <w:t xml:space="preserve"> </w:t>
      </w:r>
      <w:r>
        <w:t xml:space="preserve">months of age. A Completely Randomized Design (CRD) was used in the</w:t>
      </w:r>
      <w:r>
        <w:t xml:space="preserve"> </w:t>
      </w:r>
      <w:r>
        <w:t xml:space="preserve">study. The rabbits were divided into 3 treatments, 2 replications, and 6</w:t>
      </w:r>
      <w:r>
        <w:t xml:space="preserve"> </w:t>
      </w:r>
      <w:r>
        <w:t xml:space="preserve">rabbits per treatment. The experimental treatments were as follows: T1 =</w:t>
      </w:r>
      <w:r>
        <w:t xml:space="preserve"> </w:t>
      </w:r>
      <w:r>
        <w:t xml:space="preserve">Pure Water (Control); T2 = 5 grams of ginger powder/L of water; and T3 =</w:t>
      </w:r>
      <w:r>
        <w:t xml:space="preserve"> </w:t>
      </w:r>
      <w:r>
        <w:t xml:space="preserve">8 grams of ginger powder/L of water, which were replicated three (3)</w:t>
      </w:r>
      <w:r>
        <w:t xml:space="preserve"> </w:t>
      </w:r>
      <w:r>
        <w:t xml:space="preserve">times. The statistical analysis</w:t>
      </w:r>
      <w:r>
        <w:t xml:space="preserve"> </w:t>
      </w:r>
      <w:r>
        <w:rPr>
          <w:bCs/>
          <w:b/>
        </w:rPr>
        <w:t xml:space="preserve">suggests (EC)</w:t>
      </w:r>
      <w:r>
        <w:t xml:space="preserve"> </w:t>
      </w:r>
      <w:r>
        <w:t xml:space="preserve">that there is no</w:t>
      </w:r>
      <w:r>
        <w:t xml:space="preserve"> </w:t>
      </w:r>
      <w:r>
        <w:t xml:space="preserve">significant difference among the treatments with regard to their initial</w:t>
      </w:r>
      <w:r>
        <w:t xml:space="preserve"> </w:t>
      </w:r>
      <w:r>
        <w:t xml:space="preserve">weight, gain in weight, average daily gain, and feed conversion ratio of</w:t>
      </w:r>
      <w:r>
        <w:t xml:space="preserve"> </w:t>
      </w:r>
      <w:r>
        <w:t xml:space="preserve">the experimental rabbits.</w:t>
      </w:r>
    </w:p>
    <w:p>
      <w:pPr>
        <w:pStyle w:val="BodyText"/>
      </w:pPr>
      <w:r>
        <w:rPr>
          <w:bCs/>
          <w:b/>
        </w:rPr>
        <w:t xml:space="preserve">Aas5 · 316 words · 1 hedges · 0.32 per 100 words</w:t>
      </w:r>
    </w:p>
    <w:p>
      <w:pPr>
        <w:pStyle w:val="BodyText"/>
      </w:pPr>
      <w:r>
        <w:t xml:space="preserve">Protein is the most costly and restrictive ingredient in feed</w:t>
      </w:r>
      <w:r>
        <w:t xml:space="preserve"> </w:t>
      </w:r>
      <w:r>
        <w:t xml:space="preserve">formulations, and the price of traditional sources of protein has risen</w:t>
      </w:r>
      <w:r>
        <w:t xml:space="preserve"> </w:t>
      </w:r>
      <w:r>
        <w:t xml:space="preserve">significantly due to yield factors and competition between humans and</w:t>
      </w:r>
      <w:r>
        <w:t xml:space="preserve"> </w:t>
      </w:r>
      <w:r>
        <w:t xml:space="preserve">animals. In order to meet the demand for highly nutritious animal food,</w:t>
      </w:r>
      <w:r>
        <w:t xml:space="preserve"> </w:t>
      </w:r>
      <w:r>
        <w:t xml:space="preserve">the future</w:t>
      </w:r>
      <w:r>
        <w:t xml:space="preserve"> </w:t>
      </w:r>
      <w:r>
        <w:rPr>
          <w:strike/>
          <w:bCs/>
          <w:b/>
        </w:rPr>
        <w:t xml:space="preserve">will</w:t>
      </w:r>
      <w:r>
        <w:t xml:space="preserve"> </w:t>
      </w:r>
      <w:r>
        <w:t xml:space="preserve">(FP-Gen) drive animal production systems to find</w:t>
      </w:r>
      <w:r>
        <w:t xml:space="preserve"> </w:t>
      </w:r>
      <w:r>
        <w:t xml:space="preserve">new sources of high-quality and sustainable protein feed raw materials.</w:t>
      </w:r>
      <w:r>
        <w:t xml:space="preserve"> </w:t>
      </w:r>
      <w:r>
        <w:t xml:space="preserve">Fortunately, insect farming</w:t>
      </w:r>
      <w:r>
        <w:t xml:space="preserve"> </w:t>
      </w:r>
      <w:r>
        <w:rPr>
          <w:bCs/>
          <w:b/>
        </w:rPr>
        <w:t xml:space="preserve">can (EC)</w:t>
      </w:r>
      <w:r>
        <w:t xml:space="preserve"> </w:t>
      </w:r>
      <w:r>
        <w:t xml:space="preserve">be seen as a</w:t>
      </w:r>
      <w:r>
        <w:t xml:space="preserve"> </w:t>
      </w:r>
      <w:r>
        <w:rPr>
          <w:strike/>
          <w:bCs/>
          <w:b/>
        </w:rPr>
        <w:t xml:space="preserve">potential</w:t>
      </w:r>
      <w:r>
        <w:t xml:space="preserve"> </w:t>
      </w:r>
      <w:r>
        <w:t xml:space="preserve">(FP-Gen) solution for filling the protein gap for feed and food</w:t>
      </w:r>
      <w:r>
        <w:t xml:space="preserve"> </w:t>
      </w:r>
      <w:r>
        <w:t xml:space="preserve">resources in a more sustainable manned compared to other animal protein</w:t>
      </w:r>
      <w:r>
        <w:t xml:space="preserve"> </w:t>
      </w:r>
      <w:r>
        <w:t xml:space="preserve">sources. In particular, there is an increasing interest in the</w:t>
      </w:r>
      <w:r>
        <w:t xml:space="preserve"> </w:t>
      </w:r>
      <w:r>
        <w:t xml:space="preserve">utilization of Black Soldier Fly (BSF) larvae. The black soldier fly</w:t>
      </w:r>
      <w:r>
        <w:t xml:space="preserve"> </w:t>
      </w:r>
      <w:r>
        <w:t xml:space="preserve">(BSF; Hermetia illucens) has been studied for its capability to convert</w:t>
      </w:r>
      <w:r>
        <w:t xml:space="preserve"> </w:t>
      </w:r>
      <w:r>
        <w:t xml:space="preserve">recycling food and animal waste into high quality protein animal feeds.</w:t>
      </w:r>
      <w:r>
        <w:t xml:space="preserve"> </w:t>
      </w:r>
      <w:r>
        <w:t xml:space="preserve">A total of 4,500 grams of nine-day-old (3rd instar) Black Soldier Fly</w:t>
      </w:r>
      <w:r>
        <w:t xml:space="preserve"> </w:t>
      </w:r>
      <w:r>
        <w:t xml:space="preserve">larvae used in 3 experimental group randomly. Three (3) treatments</w:t>
      </w:r>
      <w:r>
        <w:t xml:space="preserve"> </w:t>
      </w:r>
      <w:r>
        <w:t xml:space="preserve">replicated three times used for the study, namely T1- Chicken Manure</w:t>
      </w:r>
      <w:r>
        <w:t xml:space="preserve"> </w:t>
      </w:r>
      <w:r>
        <w:t xml:space="preserve">(Control), T2- Rabbit Manure and T3- Goat Manure. Every replication is</w:t>
      </w:r>
      <w:r>
        <w:t xml:space="preserve"> </w:t>
      </w:r>
      <w:r>
        <w:t xml:space="preserve">composed of 500g of BSF larvae. Regarding in the yield parameters of</w:t>
      </w:r>
      <w:r>
        <w:t xml:space="preserve"> </w:t>
      </w:r>
      <w:r>
        <w:t xml:space="preserve">Black Soldier Fly larvae, there was a highly significant observed among</w:t>
      </w:r>
      <w:r>
        <w:t xml:space="preserve"> </w:t>
      </w:r>
      <w:r>
        <w:t xml:space="preserve">all treatment used in the study. BSF larvae fed with rabbit manure had</w:t>
      </w:r>
      <w:r>
        <w:t xml:space="preserve"> </w:t>
      </w:r>
      <w:r>
        <w:t xml:space="preserve">the highest mean among all parameters under yield namely final live</w:t>
      </w:r>
      <w:r>
        <w:t xml:space="preserve"> </w:t>
      </w:r>
      <w:r>
        <w:t xml:space="preserve">weight, final dry weight, biomass gain and survival gain. There is</w:t>
      </w:r>
      <w:r>
        <w:t xml:space="preserve"> </w:t>
      </w:r>
      <w:r>
        <w:t xml:space="preserve">highly significant differences under nutritive analysis of Black Soldier</w:t>
      </w:r>
      <w:r>
        <w:t xml:space="preserve"> </w:t>
      </w:r>
      <w:r>
        <w:t xml:space="preserve">Fly larvae. Among the results discussed, Crude Protein, Crude Fat, Ash</w:t>
      </w:r>
      <w:r>
        <w:t xml:space="preserve"> </w:t>
      </w:r>
      <w:r>
        <w:t xml:space="preserve">Content and Metabolizable Energy has a significant results at 1% level.</w:t>
      </w:r>
      <w:r>
        <w:t xml:space="preserve"> </w:t>
      </w:r>
      <w:r>
        <w:t xml:space="preserve">In Calcium, Phosphorus and Moisture Content had a comparable results in</w:t>
      </w:r>
      <w:r>
        <w:t xml:space="preserve"> </w:t>
      </w:r>
      <w:r>
        <w:t xml:space="preserve">all treatment used in the study. The BSFL in treatment 3 (14.63% Crude</w:t>
      </w:r>
      <w:r>
        <w:t xml:space="preserve"> </w:t>
      </w:r>
      <w:r>
        <w:t xml:space="preserve">Fiber) and treatment 2 (13.53% Crude Fiber) had a significantly higher</w:t>
      </w:r>
      <w:r>
        <w:t xml:space="preserve"> </w:t>
      </w:r>
      <w:r>
        <w:t xml:space="preserve">crude fiber than the treatment 1 group which obtain 8.73% Crude Fiber.</w:t>
      </w:r>
    </w:p>
    <w:p>
      <w:pPr>
        <w:pStyle w:val="BodyText"/>
      </w:pPr>
      <w:r>
        <w:rPr>
          <w:bCs/>
          <w:b/>
        </w:rPr>
        <w:t xml:space="preserve">Aas6 · 209 words · 0 hedges · 0.0 per 100 words</w:t>
      </w:r>
    </w:p>
    <w:p>
      <w:pPr>
        <w:pStyle w:val="BodyText"/>
      </w:pPr>
      <w:r>
        <w:t xml:space="preserve">The study examines the germination and growth rate of pigeon pea</w:t>
      </w:r>
      <w:r>
        <w:t xml:space="preserve"> </w:t>
      </w:r>
      <w:r>
        <w:t xml:space="preserve">(Cajanus cajan) under different scarification method for 30 days. The</w:t>
      </w:r>
      <w:r>
        <w:t xml:space="preserve"> </w:t>
      </w:r>
      <w:r>
        <w:t xml:space="preserve">effects of various scarification method, including water in different</w:t>
      </w:r>
      <w:r>
        <w:t xml:space="preserve"> </w:t>
      </w:r>
      <w:r>
        <w:t xml:space="preserve">temperatures, mechanical scarification (sand paper method) and a</w:t>
      </w:r>
      <w:r>
        <w:t xml:space="preserve"> </w:t>
      </w:r>
      <w:r>
        <w:t xml:space="preserve">chemical scarification (sulfuric acid), were assessed through multiple</w:t>
      </w:r>
      <w:r>
        <w:t xml:space="preserve"> </w:t>
      </w:r>
      <w:r>
        <w:t xml:space="preserve">parameters. The study analyzed the germination rate, days to germinate,</w:t>
      </w:r>
      <w:r>
        <w:t xml:space="preserve"> </w:t>
      </w:r>
      <w:r>
        <w:t xml:space="preserve">plant height, length of roots, age to bear leaves, length of leaves,</w:t>
      </w:r>
      <w:r>
        <w:t xml:space="preserve"> </w:t>
      </w:r>
      <w:r>
        <w:t xml:space="preserve">number of leaves, number of branches, mortality, and cost production</w:t>
      </w:r>
      <w:r>
        <w:t xml:space="preserve"> </w:t>
      </w:r>
      <w:r>
        <w:t xml:space="preserve">analysis. The type of scarification method that showed prime results was</w:t>
      </w:r>
      <w:r>
        <w:t xml:space="preserve"> </w:t>
      </w:r>
      <w:r>
        <w:t xml:space="preserve">Treatment 3 (sand paper method).</w:t>
      </w:r>
      <w:r>
        <w:t xml:space="preserve"> </w:t>
      </w:r>
      <w:r>
        <w:rPr>
          <w:bCs/>
          <w:b/>
        </w:rPr>
        <w:t xml:space="preserve">It was found to have a significant</w:t>
      </w:r>
      <w:r>
        <w:rPr>
          <w:bCs/>
          <w:b/>
        </w:rPr>
        <w:t xml:space="preserve"> </w:t>
      </w:r>
      <w:r>
        <w:rPr>
          <w:bCs/>
          <w:b/>
        </w:rPr>
        <w:t xml:space="preserve">effect on the growth and germination rate of pigeon pea in terms of days</w:t>
      </w:r>
      <w:r>
        <w:rPr>
          <w:bCs/>
          <w:b/>
        </w:rPr>
        <w:t xml:space="preserve"> </w:t>
      </w:r>
      <w:r>
        <w:rPr>
          <w:bCs/>
          <w:b/>
        </w:rPr>
        <w:t xml:space="preserve">to germinate, plant height, a number of leaves, and length of leaves</w:t>
      </w:r>
      <w:r>
        <w:rPr>
          <w:bCs/>
          <w:b/>
        </w:rPr>
        <w:t xml:space="preserve"> </w:t>
      </w:r>
      <w:r>
        <w:rPr>
          <w:bCs/>
          <w:b/>
        </w:rPr>
        <w:t xml:space="preserve">[R]</w:t>
      </w:r>
      <w:r>
        <w:t xml:space="preserve">.</w:t>
      </w:r>
      <w:r>
        <w:t xml:space="preserve"> </w:t>
      </w:r>
      <w:r>
        <w:rPr>
          <w:bCs/>
          <w:b/>
        </w:rPr>
        <w:t xml:space="preserve">Sulfuric was second in terms of the scarification method</w:t>
      </w:r>
      <w:r>
        <w:rPr>
          <w:bCs/>
          <w:b/>
        </w:rPr>
        <w:t xml:space="preserve"> </w:t>
      </w:r>
      <w:r>
        <w:rPr>
          <w:bCs/>
          <w:b/>
        </w:rPr>
        <w:t xml:space="preserve">effectiveness for pigeon pea [G]</w:t>
      </w:r>
      <w:r>
        <w:t xml:space="preserve">, The study treatments overall</w:t>
      </w:r>
      <w:r>
        <w:t xml:space="preserve"> </w:t>
      </w:r>
      <w:r>
        <w:t xml:space="preserve">proclaimed a not significant results based from the analyzed data from</w:t>
      </w:r>
      <w:r>
        <w:t xml:space="preserve"> </w:t>
      </w:r>
      <w:r>
        <w:t xml:space="preserve">each treatments except from these group of data such as from the length</w:t>
      </w:r>
      <w:r>
        <w:t xml:space="preserve"> </w:t>
      </w:r>
      <w:r>
        <w:t xml:space="preserve">of leaves from week 2 and week 3 and the length of roots that are all</w:t>
      </w:r>
      <w:r>
        <w:t xml:space="preserve"> </w:t>
      </w:r>
      <w:r>
        <w:t xml:space="preserve">expressed a highly significant results at 1% level and also the plant</w:t>
      </w:r>
      <w:r>
        <w:t xml:space="preserve"> </w:t>
      </w:r>
      <w:r>
        <w:t xml:space="preserve">height from week 3 that also expressed a significant result at 5% level.</w:t>
      </w:r>
    </w:p>
    <w:p>
      <w:pPr>
        <w:pStyle w:val="BodyText"/>
      </w:pPr>
      <w:r>
        <w:rPr>
          <w:bCs/>
          <w:b/>
        </w:rPr>
        <w:t xml:space="preserve">Aas7 · 202 words · 3 hedges · 1.49 per 100 words</w:t>
      </w:r>
    </w:p>
    <w:p>
      <w:pPr>
        <w:pStyle w:val="BodyText"/>
      </w:pPr>
      <w:r>
        <w:t xml:space="preserve">This study was conducted over a 35-day period from May 10, 2023, to June</w:t>
      </w:r>
      <w:r>
        <w:t xml:space="preserve"> </w:t>
      </w:r>
      <w:r>
        <w:t xml:space="preserve">14, 2023, at San Ildefonso, Magalang, Pampanga. The present study aimed</w:t>
      </w:r>
      <w:r>
        <w:t xml:space="preserve"> </w:t>
      </w:r>
      <w:r>
        <w:t xml:space="preserve">to determine the growth response of crossbred New Zealand rabbits as</w:t>
      </w:r>
      <w:r>
        <w:t xml:space="preserve"> </w:t>
      </w:r>
      <w:r>
        <w:t xml:space="preserve">influenced by varying levels of fermented Madre De Agua leaves. Eighteen</w:t>
      </w:r>
      <w:r>
        <w:t xml:space="preserve"> </w:t>
      </w:r>
      <w:r>
        <w:t xml:space="preserve">(18), 2 months of crossbreed New Zealand rabbits were used in the study</w:t>
      </w:r>
      <w:r>
        <w:t xml:space="preserve"> </w:t>
      </w:r>
      <w:r>
        <w:t xml:space="preserve">which were divided into three (3) treatments: T1 = 70% concentrate + 30%</w:t>
      </w:r>
      <w:r>
        <w:t xml:space="preserve"> </w:t>
      </w:r>
      <w:r>
        <w:t xml:space="preserve">paragrass, T2 = 70% concentrate + 20% paragrass + 10% fermented Madre De</w:t>
      </w:r>
      <w:r>
        <w:t xml:space="preserve"> </w:t>
      </w:r>
      <w:r>
        <w:t xml:space="preserve">Agua, T3 = 60% concentrate + 20% paragrass + 20% fermented Madre De</w:t>
      </w:r>
      <w:r>
        <w:t xml:space="preserve"> </w:t>
      </w:r>
      <w:r>
        <w:t xml:space="preserve">Agua. A Completely Randomized Design was employed, and data was analyzed</w:t>
      </w:r>
      <w:r>
        <w:t xml:space="preserve"> </w:t>
      </w:r>
      <w:r>
        <w:t xml:space="preserve">through ANOVA by Statistical Tool for Agricultural Research (STAR).</w:t>
      </w:r>
      <w:r>
        <w:t xml:space="preserve"> </w:t>
      </w:r>
      <w:r>
        <w:t xml:space="preserve">Statistical analysis showed that there was no significant difference but</w:t>
      </w:r>
      <w:r>
        <w:t xml:space="preserve"> </w:t>
      </w:r>
      <w:r>
        <w:t xml:space="preserve">showed numerical trends among the treatments in relation to initial</w:t>
      </w:r>
      <w:r>
        <w:t xml:space="preserve"> </w:t>
      </w:r>
      <w:r>
        <w:t xml:space="preserve">weight, final weight, gain in weight, average daily gain, dry matter</w:t>
      </w:r>
      <w:r>
        <w:t xml:space="preserve"> </w:t>
      </w:r>
      <w:r>
        <w:t xml:space="preserve">intake, and feed conversion ratio of the experimental rabbits In</w:t>
      </w:r>
      <w:r>
        <w:t xml:space="preserve"> </w:t>
      </w:r>
      <w:r>
        <w:t xml:space="preserve">conclusion, all treatments are comparable in terms of growth,</w:t>
      </w:r>
      <w:r>
        <w:t xml:space="preserve"> </w:t>
      </w:r>
      <w:r>
        <w:rPr>
          <w:bCs/>
          <w:b/>
        </w:rPr>
        <w:t xml:space="preserve">implying</w:t>
      </w:r>
      <w:r>
        <w:rPr>
          <w:bCs/>
          <w:b/>
        </w:rPr>
        <w:t xml:space="preserve"> </w:t>
      </w:r>
      <w:r>
        <w:rPr>
          <w:bCs/>
          <w:b/>
        </w:rPr>
        <w:t xml:space="preserve">(EC)</w:t>
      </w:r>
      <w:r>
        <w:t xml:space="preserve"> </w:t>
      </w:r>
      <w:r>
        <w:t xml:space="preserve">that Fermented Madre de Agua is a viable feed component under</w:t>
      </w:r>
      <w:r>
        <w:t xml:space="preserve"> </w:t>
      </w:r>
      <w:r>
        <w:t xml:space="preserve">these conditions. Feeding 20% fermented Madre De Agua</w:t>
      </w:r>
      <w:r>
        <w:t xml:space="preserve"> </w:t>
      </w:r>
      <w:r>
        <w:rPr>
          <w:bCs/>
          <w:b/>
        </w:rPr>
        <w:t xml:space="preserve">may (EC)</w:t>
      </w:r>
      <w:r>
        <w:t xml:space="preserve"> </w:t>
      </w:r>
      <w:r>
        <w:t xml:space="preserve">improve final weight, while feeding 10% fermented Madre De Agua</w:t>
      </w:r>
      <w:r>
        <w:t xml:space="preserve"> </w:t>
      </w:r>
      <w:r>
        <w:rPr>
          <w:bCs/>
          <w:b/>
        </w:rPr>
        <w:t xml:space="preserve">may</w:t>
      </w:r>
      <w:r>
        <w:rPr>
          <w:bCs/>
          <w:b/>
        </w:rPr>
        <w:t xml:space="preserve"> </w:t>
      </w:r>
      <w:r>
        <w:rPr>
          <w:bCs/>
          <w:b/>
        </w:rPr>
        <w:t xml:space="preserve">(EC)</w:t>
      </w:r>
      <w:r>
        <w:t xml:space="preserve"> </w:t>
      </w:r>
      <w:r>
        <w:t xml:space="preserve">reduce dry matter intake.</w:t>
      </w:r>
    </w:p>
    <w:p>
      <w:pPr>
        <w:pStyle w:val="BodyText"/>
      </w:pPr>
      <w:r>
        <w:rPr>
          <w:bCs/>
          <w:b/>
        </w:rPr>
        <w:t xml:space="preserve">Aas8 · 186 words · 0 hedges · 0.0 per 100 words</w:t>
      </w:r>
    </w:p>
    <w:p>
      <w:pPr>
        <w:pStyle w:val="BodyText"/>
      </w:pPr>
      <w:r>
        <w:t xml:space="preserve">A study was conducted to evaluate the survivability of mallard ducks</w:t>
      </w:r>
      <w:r>
        <w:t xml:space="preserve"> </w:t>
      </w:r>
      <w:r>
        <w:t xml:space="preserve">(Anas platyrhynchos) through growth performance assessment fed with</w:t>
      </w:r>
      <w:r>
        <w:t xml:space="preserve"> </w:t>
      </w:r>
      <w:r>
        <w:t xml:space="preserve">different ration composition at brooding stage from day 1 to day 21 of</w:t>
      </w:r>
      <w:r>
        <w:t xml:space="preserve"> </w:t>
      </w:r>
      <w:r>
        <w:t xml:space="preserve">age. T1 served as the control treatment fed with chick booster while</w:t>
      </w:r>
      <w:r>
        <w:t xml:space="preserve"> </w:t>
      </w:r>
      <w:r>
        <w:t xml:space="preserve">ducks fed with T2 were given 75% rice porridge and 25% fish entrails and</w:t>
      </w:r>
      <w:r>
        <w:t xml:space="preserve"> </w:t>
      </w:r>
      <w:r>
        <w:t xml:space="preserve">for T3 with 50% rice porridge and 50% fish entrails. The results</w:t>
      </w:r>
      <w:r>
        <w:t xml:space="preserve"> </w:t>
      </w:r>
      <w:r>
        <w:t xml:space="preserve">revealed that treatment 2 consistently demonstrated the highest mean</w:t>
      </w:r>
      <w:r>
        <w:t xml:space="preserve"> </w:t>
      </w:r>
      <w:r>
        <w:t xml:space="preserve">gain in weight, mean final weight, average daily gain, and feed</w:t>
      </w:r>
      <w:r>
        <w:t xml:space="preserve"> </w:t>
      </w:r>
      <w:r>
        <w:t xml:space="preserve">consumption during the initial 14-day period and days 15 to 21. However,</w:t>
      </w:r>
      <w:r>
        <w:t xml:space="preserve"> </w:t>
      </w:r>
      <w:r>
        <w:t xml:space="preserve">T1 exhibited the lowest feed conversion ratio (FCR) and mortality rate,</w:t>
      </w:r>
      <w:r>
        <w:t xml:space="preserve"> </w:t>
      </w:r>
      <w:r>
        <w:rPr>
          <w:strike/>
          <w:bCs/>
          <w:b/>
        </w:rPr>
        <w:t xml:space="preserve">indicating</w:t>
      </w:r>
      <w:r>
        <w:t xml:space="preserve"> </w:t>
      </w:r>
      <w:r>
        <w:t xml:space="preserve">(FP-Gen) superior feed efficiency and improved</w:t>
      </w:r>
      <w:r>
        <w:t xml:space="preserve"> </w:t>
      </w:r>
      <w:r>
        <w:t xml:space="preserve">survivability to T2. Based on the results of the study, it is</w:t>
      </w:r>
      <w:r>
        <w:t xml:space="preserve"> </w:t>
      </w:r>
      <w:r>
        <w:rPr>
          <w:strike/>
          <w:bCs/>
          <w:b/>
        </w:rPr>
        <w:t xml:space="preserve">recommended</w:t>
      </w:r>
      <w:r>
        <w:t xml:space="preserve"> </w:t>
      </w:r>
      <w:r>
        <w:t xml:space="preserve">(FP-Rec) to feed mallard ducks with 75% rice</w:t>
      </w:r>
      <w:r>
        <w:t xml:space="preserve"> </w:t>
      </w:r>
      <w:r>
        <w:t xml:space="preserve">porridge and 25% fish entrails during brooding stage at day 1 to day 21</w:t>
      </w:r>
      <w:r>
        <w:t xml:space="preserve"> </w:t>
      </w:r>
      <w:r>
        <w:t xml:space="preserve">for enhancing weight gain and achieving higher final weights in mallard</w:t>
      </w:r>
      <w:r>
        <w:t xml:space="preserve"> </w:t>
      </w:r>
      <w:r>
        <w:t xml:space="preserve">ducks. Further research</w:t>
      </w:r>
      <w:r>
        <w:t xml:space="preserve"> </w:t>
      </w:r>
      <w:r>
        <w:rPr>
          <w:strike/>
          <w:bCs/>
          <w:b/>
        </w:rPr>
        <w:t xml:space="preserve">can</w:t>
      </w:r>
      <w:r>
        <w:t xml:space="preserve"> </w:t>
      </w:r>
      <w:r>
        <w:t xml:space="preserve">(FP-Gen) explore the long-term</w:t>
      </w:r>
      <w:r>
        <w:t xml:space="preserve"> </w:t>
      </w:r>
      <w:r>
        <w:t xml:space="preserve">effects and cost-effectiveness of these treatments and their impact on</w:t>
      </w:r>
      <w:r>
        <w:t xml:space="preserve"> </w:t>
      </w:r>
      <w:r>
        <w:t xml:space="preserve">meat quality and reproductive performance.</w:t>
      </w:r>
    </w:p>
    <w:p>
      <w:pPr>
        <w:pStyle w:val="BodyText"/>
      </w:pPr>
      <w:r>
        <w:rPr>
          <w:bCs/>
          <w:b/>
        </w:rPr>
        <w:t xml:space="preserve">Aas9 · 188 words · 0 hedges · 0.0 per 100 words</w:t>
      </w:r>
    </w:p>
    <w:p>
      <w:pPr>
        <w:pStyle w:val="BodyText"/>
      </w:pPr>
      <w:r>
        <w:t xml:space="preserve">The study was conducted at EJR ANNE FARM, San Ildefonso, Magalang,</w:t>
      </w:r>
      <w:r>
        <w:t xml:space="preserve"> </w:t>
      </w:r>
      <w:r>
        <w:t xml:space="preserve">Pampanga from April 25 to April 30, 2023 to find out the</w:t>
      </w:r>
      <w:r>
        <w:t xml:space="preserve"> </w:t>
      </w:r>
      <w:r>
        <w:t xml:space="preserve">“</w:t>
      </w:r>
      <w:r>
        <w:t xml:space="preserve">Efficacy of</w:t>
      </w:r>
      <w:r>
        <w:t xml:space="preserve"> </w:t>
      </w:r>
      <w:r>
        <w:t xml:space="preserve">Diatomaceous Earth (DE) and Neem Tree Extract (Azadirachta indica) on</w:t>
      </w:r>
      <w:r>
        <w:t xml:space="preserve"> </w:t>
      </w:r>
      <w:r>
        <w:t xml:space="preserve">House Fly Larvae (Musca domestica) on Poultry Manure</w:t>
      </w:r>
      <w:r>
        <w:t xml:space="preserve">”</w:t>
      </w:r>
      <w:r>
        <w:t xml:space="preserve"> </w:t>
      </w:r>
      <w:r>
        <w:t xml:space="preserve">where a total of</w:t>
      </w:r>
      <w:r>
        <w:t xml:space="preserve"> </w:t>
      </w:r>
      <w:r>
        <w:t xml:space="preserve">nine hundred maggots (900) were used. The experiment was laid out using</w:t>
      </w:r>
      <w:r>
        <w:t xml:space="preserve"> </w:t>
      </w:r>
      <w:r>
        <w:t xml:space="preserve">Complete Randomized Design (CRD) with three (3) treatments, namely, T1</w:t>
      </w:r>
      <w:r>
        <w:t xml:space="preserve"> </w:t>
      </w:r>
      <w:r>
        <w:t xml:space="preserve">–Carbonated rice hull and saw dust, T2 – Diatomaceous Earth, and T3</w:t>
      </w:r>
      <w:r>
        <w:t xml:space="preserve"> </w:t>
      </w:r>
      <w:r>
        <w:t xml:space="preserve">–Neem tree extract. The nine hundred maggots were divided into three</w:t>
      </w:r>
      <w:r>
        <w:t xml:space="preserve"> </w:t>
      </w:r>
      <w:r>
        <w:t xml:space="preserve">(3) treatments at one hundred maggots (100) per treatment each treatment</w:t>
      </w:r>
      <w:r>
        <w:t xml:space="preserve"> </w:t>
      </w:r>
      <w:r>
        <w:t xml:space="preserve">was replicated three (3) times with one hundred maggots (100) per</w:t>
      </w:r>
      <w:r>
        <w:t xml:space="preserve"> </w:t>
      </w:r>
      <w:r>
        <w:t xml:space="preserve">replication.</w:t>
      </w:r>
      <w:r>
        <w:t xml:space="preserve"> </w:t>
      </w:r>
      <w:r>
        <w:rPr>
          <w:bCs/>
          <w:b/>
        </w:rPr>
        <w:t xml:space="preserve">The results disclosed that the percentage of mortality</w:t>
      </w:r>
      <w:r>
        <w:rPr>
          <w:bCs/>
          <w:b/>
        </w:rPr>
        <w:t xml:space="preserve"> </w:t>
      </w:r>
      <w:r>
        <w:rPr>
          <w:bCs/>
          <w:b/>
        </w:rPr>
        <w:t xml:space="preserve">and moisture content were statistically significant at 1% (P&lt;0.01) and</w:t>
      </w:r>
      <w:r>
        <w:rPr>
          <w:bCs/>
          <w:b/>
        </w:rPr>
        <w:t xml:space="preserve"> </w:t>
      </w:r>
      <w:r>
        <w:rPr>
          <w:bCs/>
          <w:b/>
        </w:rPr>
        <w:t xml:space="preserve">(P&lt;0.05) level with 48 hours after the post-treatment [R]</w:t>
      </w:r>
      <w:r>
        <w:t xml:space="preserve">. However,</w:t>
      </w:r>
      <w:r>
        <w:t xml:space="preserve"> </w:t>
      </w:r>
      <w:r>
        <w:rPr>
          <w:bCs/>
          <w:b/>
        </w:rPr>
        <w:t xml:space="preserve">mortality rate and moisture content were not significant after 6 hours</w:t>
      </w:r>
      <w:r>
        <w:rPr>
          <w:bCs/>
          <w:b/>
        </w:rPr>
        <w:t xml:space="preserve"> </w:t>
      </w:r>
      <w:r>
        <w:rPr>
          <w:bCs/>
          <w:b/>
        </w:rPr>
        <w:t xml:space="preserve">and 24 hours [R]</w:t>
      </w:r>
      <w:r>
        <w:t xml:space="preserve">. Therefore, it is</w:t>
      </w:r>
      <w:r>
        <w:t xml:space="preserve"> </w:t>
      </w:r>
      <w:r>
        <w:rPr>
          <w:strike/>
          <w:bCs/>
          <w:b/>
        </w:rPr>
        <w:t xml:space="preserve">recommended</w:t>
      </w:r>
      <w:r>
        <w:t xml:space="preserve"> </w:t>
      </w:r>
      <w:r>
        <w:t xml:space="preserve">(FP-Rec) for</w:t>
      </w:r>
      <w:r>
        <w:t xml:space="preserve"> </w:t>
      </w:r>
      <w:r>
        <w:t xml:space="preserve">future researchers to add Diatomaceous earth and neem tree extract and</w:t>
      </w:r>
      <w:r>
        <w:t xml:space="preserve"> </w:t>
      </w:r>
      <w:r>
        <w:t xml:space="preserve">check the humidity. Extend data collection for 72 hours and 96 hours for</w:t>
      </w:r>
      <w:r>
        <w:t xml:space="preserve"> </w:t>
      </w:r>
      <w:r>
        <w:t xml:space="preserve">future study.</w:t>
      </w:r>
    </w:p>
    <w:p>
      <w:pPr>
        <w:pStyle w:val="BodyText"/>
      </w:pPr>
      <w:r>
        <w:rPr>
          <w:bCs/>
          <w:b/>
        </w:rPr>
        <w:t xml:space="preserve">Aas10 · 283 words · 2 hedges · 0.71 per 100 words</w:t>
      </w:r>
    </w:p>
    <w:p>
      <w:pPr>
        <w:pStyle w:val="BodyText"/>
      </w:pPr>
      <w:r>
        <w:t xml:space="preserve">The study was conducted at Sitio Corba, San Vicente, Concepcion, Tarlac,</w:t>
      </w:r>
      <w:r>
        <w:t xml:space="preserve"> </w:t>
      </w:r>
      <w:r>
        <w:t xml:space="preserve">for 35 days, from April 16 to May 20, 2023. The study was carried out to</w:t>
      </w:r>
      <w:r>
        <w:t xml:space="preserve"> </w:t>
      </w:r>
      <w:r>
        <w:t xml:space="preserve">search for alternatives to protein sources. The objective of the study</w:t>
      </w:r>
      <w:r>
        <w:t xml:space="preserve"> </w:t>
      </w:r>
      <w:r>
        <w:t xml:space="preserve">was to determine the growth response of F1 New Zealand white rabbits as</w:t>
      </w:r>
      <w:r>
        <w:t xml:space="preserve"> </w:t>
      </w:r>
      <w:r>
        <w:t xml:space="preserve">influenced by the roughage-to-concentrate ratio. A total of eighteen</w:t>
      </w:r>
      <w:r>
        <w:t xml:space="preserve"> </w:t>
      </w:r>
      <w:r>
        <w:t xml:space="preserve">(18) heads of six (6)-week-old female New Zealand White Rabbits were</w:t>
      </w:r>
      <w:r>
        <w:t xml:space="preserve"> </w:t>
      </w:r>
      <w:r>
        <w:t xml:space="preserve">selected and distributed into three (3) groups, each treatment</w:t>
      </w:r>
      <w:r>
        <w:t xml:space="preserve"> </w:t>
      </w:r>
      <w:r>
        <w:t xml:space="preserve">replicated thrice with 2 rabbits per replication. Results showed no</w:t>
      </w:r>
      <w:r>
        <w:t xml:space="preserve"> </w:t>
      </w:r>
      <w:r>
        <w:t xml:space="preserve">significant difference (P&lt;0.05) in final weight, gain in weight, and</w:t>
      </w:r>
      <w:r>
        <w:t xml:space="preserve"> </w:t>
      </w:r>
      <w:r>
        <w:t xml:space="preserve">average daily gain in all the treatment groups. The control group (T1)</w:t>
      </w:r>
      <w:r>
        <w:t xml:space="preserve"> </w:t>
      </w:r>
      <w:r>
        <w:t xml:space="preserve">was fed 70% guinea grass and 30% concentrates. For T2 and T3, the guinea</w:t>
      </w:r>
      <w:r>
        <w:t xml:space="preserve"> </w:t>
      </w:r>
      <w:r>
        <w:t xml:space="preserve">grass was replaced with fresh azolla on an equi-weight basis at levels</w:t>
      </w:r>
      <w:r>
        <w:t xml:space="preserve"> </w:t>
      </w:r>
      <w:r>
        <w:t xml:space="preserve">of 10 and 20 percent, respectively. In conclusion, based on the results,</w:t>
      </w:r>
      <w:r>
        <w:t xml:space="preserve"> </w:t>
      </w:r>
      <w:r>
        <w:t xml:space="preserve">it</w:t>
      </w:r>
      <w:r>
        <w:t xml:space="preserve"> </w:t>
      </w:r>
      <w:r>
        <w:rPr>
          <w:bCs/>
          <w:b/>
        </w:rPr>
        <w:t xml:space="preserve">can (EC)</w:t>
      </w:r>
      <w:r>
        <w:t xml:space="preserve"> </w:t>
      </w:r>
      <w:r>
        <w:t xml:space="preserve">be stated that the ratio of 70% guinea grass (GG) + 30%</w:t>
      </w:r>
      <w:r>
        <w:t xml:space="preserve"> </w:t>
      </w:r>
      <w:r>
        <w:t xml:space="preserve">concentrate (C), the control group, had a significantly higher (P&lt;0.01)</w:t>
      </w:r>
      <w:r>
        <w:t xml:space="preserve"> </w:t>
      </w:r>
      <w:r>
        <w:t xml:space="preserve">feed conversion ratio, while rabbits in treatment T3 (50% guinea grass,</w:t>
      </w:r>
      <w:r>
        <w:t xml:space="preserve"> </w:t>
      </w:r>
      <w:r>
        <w:t xml:space="preserve">20% azolla, and 30% concentrate) had a significantly higher (P&lt;0.01)</w:t>
      </w:r>
      <w:r>
        <w:t xml:space="preserve"> </w:t>
      </w:r>
      <w:r>
        <w:t xml:space="preserve">dry matter intake. The researchers still</w:t>
      </w:r>
      <w:r>
        <w:t xml:space="preserve"> </w:t>
      </w:r>
      <w:r>
        <w:rPr>
          <w:strike/>
          <w:bCs/>
          <w:b/>
        </w:rPr>
        <w:t xml:space="preserve">recommended</w:t>
      </w:r>
      <w:r>
        <w:t xml:space="preserve"> </w:t>
      </w:r>
      <w:r>
        <w:t xml:space="preserve">(FP-Rec)</w:t>
      </w:r>
      <w:r>
        <w:t xml:space="preserve"> </w:t>
      </w:r>
      <w:r>
        <w:t xml:space="preserve">incorporating 50% Guinea grass + 20% Azolla + 30% concentrates for</w:t>
      </w:r>
      <w:r>
        <w:t xml:space="preserve"> </w:t>
      </w:r>
      <w:r>
        <w:t xml:space="preserve">rabbit growth performance, considering the results show that this</w:t>
      </w:r>
      <w:r>
        <w:t xml:space="preserve"> </w:t>
      </w:r>
      <w:r>
        <w:t xml:space="preserve">treatment performs well and doesn't differ from treatment 1, which is</w:t>
      </w:r>
      <w:r>
        <w:t xml:space="preserve"> </w:t>
      </w:r>
      <w:r>
        <w:t xml:space="preserve">the farmer practice. The researchers also saw that the treatment of 50%</w:t>
      </w:r>
      <w:r>
        <w:t xml:space="preserve"> </w:t>
      </w:r>
      <w:r>
        <w:t xml:space="preserve">Guinea grass + 20% Azolla + 30% concentrates has</w:t>
      </w:r>
      <w:r>
        <w:t xml:space="preserve"> </w:t>
      </w:r>
      <w:r>
        <w:rPr>
          <w:bCs/>
          <w:b/>
        </w:rPr>
        <w:t xml:space="preserve">potential (EC)</w:t>
      </w:r>
      <w:r>
        <w:t xml:space="preserve"> </w:t>
      </w:r>
      <w:r>
        <w:t xml:space="preserve">as</w:t>
      </w:r>
      <w:r>
        <w:t xml:space="preserve"> </w:t>
      </w:r>
      <w:r>
        <w:t xml:space="preserve">an alternative feed ration for rabbits without adverse effects, and</w:t>
      </w:r>
      <w:r>
        <w:t xml:space="preserve"> </w:t>
      </w:r>
      <w:r>
        <w:t xml:space="preserve">considering that azolla</w:t>
      </w:r>
      <w:r>
        <w:t xml:space="preserve"> </w:t>
      </w:r>
      <w:r>
        <w:rPr>
          <w:strike/>
          <w:bCs/>
          <w:b/>
        </w:rPr>
        <w:t xml:space="preserve">can</w:t>
      </w:r>
      <w:r>
        <w:t xml:space="preserve"> </w:t>
      </w:r>
      <w:r>
        <w:t xml:space="preserve">(FP-Cap) help breeders to lessen the</w:t>
      </w:r>
      <w:r>
        <w:t xml:space="preserve"> </w:t>
      </w:r>
      <w:r>
        <w:t xml:space="preserve">feed cost in production.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2026-10-02T03:22:50Z</dcterms:created>
  <dcterms:modified xsi:type="dcterms:W3CDTF">2026-10-02T03:22:50Z</dcterms:modified>
</cp:coreProperties>
</file>

<file path=docProps/custom.xml><?xml version="1.0" encoding="utf-8"?>
<Properties xmlns="http://schemas.openxmlformats.org/officeDocument/2006/custom-properties" xmlns:vt="http://schemas.openxmlformats.org/officeDocument/2006/docPropsVTypes"/>
</file>