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jc w:val="center"/>
        <w:rPr>
          <w:sz w:val="28"/>
          <w:szCs w:val="28"/>
        </w:rPr>
      </w:pPr>
      <w:r w:rsidDel="00000000" w:rsidR="00000000" w:rsidRPr="00000000">
        <w:rPr>
          <w:b w:val="1"/>
          <w:bCs w:val="1"/>
          <w:sz w:val="28"/>
          <w:szCs w:val="28"/>
          <w:rtl w:val="0"/>
        </w:rPr>
        <w:t xml:space="preserve">THE USE OF HEDGES IN RESEARCH ABSTRACTS</w:t>
      </w:r>
      <w:r w:rsidDel="00000000" w:rsidR="00000000" w:rsidRPr="00000000">
        <w:rPr>
          <w:rtl w:val="0"/>
        </w:rPr>
      </w:r>
    </w:p>
    <w:p w:rsidR="00000000" w:rsidDel="00000000" w:rsidP="00000000" w:rsidRDefault="00000000" w:rsidRPr="00000000" w14:paraId="00000004">
      <w:pPr>
        <w:spacing w:after="0" w:before="0" w:line="480" w:lineRule="auto"/>
        <w:jc w:val="center"/>
        <w:rPr>
          <w:sz w:val="28"/>
          <w:szCs w:val="28"/>
        </w:rPr>
      </w:pPr>
      <w:r w:rsidDel="00000000" w:rsidR="00000000" w:rsidRPr="00000000">
        <w:rPr>
          <w:b w:val="1"/>
          <w:bCs w:val="1"/>
          <w:sz w:val="28"/>
          <w:szCs w:val="28"/>
          <w:rtl w:val="0"/>
        </w:rPr>
        <w:t xml:space="preserve">ACROSS APPLIED LIFE SCIENCES</w:t>
      </w:r>
      <w:r w:rsidDel="00000000" w:rsidR="00000000" w:rsidRPr="00000000">
        <w:rPr>
          <w:rtl w:val="0"/>
        </w:rPr>
      </w:r>
    </w:p>
    <w:p w:rsidR="00000000" w:rsidDel="00000000" w:rsidP="00000000" w:rsidRDefault="00000000" w:rsidRPr="00000000" w14:paraId="00000005">
      <w:pPr>
        <w:spacing w:after="0" w:before="0" w:line="480" w:lineRule="auto"/>
        <w:jc w:val="center"/>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tl w:val="0"/>
        </w:rPr>
        <w:t xml:space="preserve">A Thesis</w:t>
      </w:r>
    </w:p>
    <w:p w:rsidR="00000000" w:rsidDel="00000000" w:rsidP="00000000" w:rsidRDefault="00000000" w:rsidRPr="00000000" w14:paraId="00000008">
      <w:pPr>
        <w:spacing w:after="0" w:before="0" w:line="480" w:lineRule="auto"/>
        <w:jc w:val="center"/>
        <w:rPr/>
      </w:pPr>
      <w:r w:rsidDel="00000000" w:rsidR="00000000" w:rsidRPr="00000000">
        <w:rPr>
          <w:rtl w:val="0"/>
        </w:rPr>
        <w:t xml:space="preserve">Presented to the Faculty of</w:t>
      </w:r>
    </w:p>
    <w:p w:rsidR="00000000" w:rsidDel="00000000" w:rsidP="00000000" w:rsidRDefault="00000000" w:rsidRPr="00000000" w14:paraId="00000009">
      <w:pPr>
        <w:spacing w:after="0" w:before="0" w:line="480" w:lineRule="auto"/>
        <w:jc w:val="center"/>
        <w:rPr/>
      </w:pPr>
      <w:r w:rsidDel="00000000" w:rsidR="00000000" w:rsidRPr="00000000">
        <w:rPr>
          <w:rtl w:val="0"/>
        </w:rPr>
        <w:t xml:space="preserve">Department of English</w:t>
      </w:r>
    </w:p>
    <w:p w:rsidR="00000000" w:rsidDel="00000000" w:rsidP="00000000" w:rsidRDefault="00000000" w:rsidRPr="00000000" w14:paraId="0000000A">
      <w:pPr>
        <w:spacing w:after="0" w:before="0" w:line="480" w:lineRule="auto"/>
        <w:jc w:val="center"/>
        <w:rPr/>
      </w:pPr>
      <w:r w:rsidDel="00000000" w:rsidR="00000000" w:rsidRPr="00000000">
        <w:rPr>
          <w:rtl w:val="0"/>
        </w:rPr>
        <w:t xml:space="preserve">College of Arts and Sciences</w:t>
      </w:r>
    </w:p>
    <w:p w:rsidR="00000000" w:rsidDel="00000000" w:rsidP="00000000" w:rsidRDefault="00000000" w:rsidRPr="00000000" w14:paraId="0000000B">
      <w:pPr>
        <w:spacing w:after="0" w:before="0" w:line="480" w:lineRule="auto"/>
        <w:jc w:val="center"/>
        <w:rPr/>
      </w:pPr>
      <w:r w:rsidDel="00000000" w:rsidR="00000000" w:rsidRPr="00000000">
        <w:rPr>
          <w:rtl w:val="0"/>
        </w:rPr>
        <w:t xml:space="preserve">Pampanga State Agricultural University</w:t>
      </w:r>
    </w:p>
    <w:p w:rsidR="00000000" w:rsidDel="00000000" w:rsidP="00000000" w:rsidRDefault="00000000" w:rsidRPr="00000000" w14:paraId="0000000C">
      <w:pPr>
        <w:spacing w:after="0" w:before="0" w:line="480" w:lineRule="auto"/>
        <w:jc w:val="center"/>
        <w:rPr/>
      </w:pPr>
      <w:r w:rsidDel="00000000" w:rsidR="00000000" w:rsidRPr="00000000">
        <w:rPr>
          <w:rtl w:val="0"/>
        </w:rPr>
        <w:t xml:space="preserve">Magalang, Pampanga</w:t>
      </w:r>
    </w:p>
    <w:p w:rsidR="00000000" w:rsidDel="00000000" w:rsidP="00000000" w:rsidRDefault="00000000" w:rsidRPr="00000000" w14:paraId="0000000D">
      <w:pPr>
        <w:spacing w:after="0" w:before="0" w:line="480" w:lineRule="auto"/>
        <w:jc w:val="center"/>
        <w:rPr/>
      </w:pPr>
      <w:r w:rsidDel="00000000" w:rsidR="00000000" w:rsidRPr="00000000">
        <w:rPr>
          <w:rtl w:val="0"/>
        </w:rPr>
      </w:r>
    </w:p>
    <w:p w:rsidR="00000000" w:rsidDel="00000000" w:rsidP="00000000" w:rsidRDefault="00000000" w:rsidRPr="00000000" w14:paraId="0000000E">
      <w:pPr>
        <w:spacing w:after="0" w:before="0" w:line="480" w:lineRule="auto"/>
        <w:jc w:val="center"/>
        <w:rPr/>
      </w:pPr>
      <w:r w:rsidDel="00000000" w:rsidR="00000000" w:rsidRPr="00000000">
        <w:rPr>
          <w:rtl w:val="0"/>
        </w:rPr>
      </w:r>
    </w:p>
    <w:p w:rsidR="00000000" w:rsidDel="00000000" w:rsidP="00000000" w:rsidRDefault="00000000" w:rsidRPr="00000000" w14:paraId="0000000F">
      <w:pPr>
        <w:spacing w:after="0" w:before="0" w:line="480" w:lineRule="auto"/>
        <w:jc w:val="center"/>
        <w:rPr/>
      </w:pPr>
      <w:r w:rsidDel="00000000" w:rsidR="00000000" w:rsidRPr="00000000">
        <w:rPr>
          <w:rtl w:val="0"/>
        </w:rPr>
        <w:t xml:space="preserve">In Partial Fulfillment</w:t>
      </w:r>
    </w:p>
    <w:p w:rsidR="00000000" w:rsidDel="00000000" w:rsidP="00000000" w:rsidRDefault="00000000" w:rsidRPr="00000000" w14:paraId="00000010">
      <w:pPr>
        <w:spacing w:after="0" w:before="0"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11">
      <w:pPr>
        <w:spacing w:after="0" w:before="0" w:line="480" w:lineRule="auto"/>
        <w:jc w:val="center"/>
        <w:rPr/>
      </w:pPr>
      <w:r w:rsidDel="00000000" w:rsidR="00000000" w:rsidRPr="00000000">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sidDel="00000000" w:rsidR="00000000" w:rsidRPr="00000000">
        <w:rPr>
          <w:rtl w:val="0"/>
        </w:rPr>
      </w:r>
    </w:p>
    <w:p w:rsidR="00000000" w:rsidDel="00000000" w:rsidP="00000000" w:rsidRDefault="00000000" w:rsidRPr="00000000" w14:paraId="00000013">
      <w:pPr>
        <w:spacing w:after="0" w:before="0" w:line="480" w:lineRule="auto"/>
        <w:jc w:val="center"/>
        <w:rPr/>
      </w:pPr>
      <w:r w:rsidDel="00000000" w:rsidR="00000000" w:rsidRPr="00000000">
        <w:rPr>
          <w:rtl w:val="0"/>
        </w:rPr>
      </w:r>
    </w:p>
    <w:p w:rsidR="00000000" w:rsidDel="00000000" w:rsidP="00000000" w:rsidRDefault="00000000" w:rsidRPr="00000000" w14:paraId="00000014">
      <w:pPr>
        <w:keepNext w:val="1"/>
        <w:spacing w:after="0" w:before="0" w:line="480" w:lineRule="auto"/>
        <w:jc w:val="center"/>
        <w:rPr/>
      </w:pPr>
      <w:r w:rsidDel="00000000" w:rsidR="00000000" w:rsidRPr="00000000">
        <w:rPr>
          <w:rtl w:val="0"/>
        </w:rPr>
        <w:t xml:space="preserve">By</w:t>
      </w:r>
    </w:p>
    <w:p w:rsidR="00000000" w:rsidDel="00000000" w:rsidP="00000000" w:rsidRDefault="00000000" w:rsidRPr="00000000" w14:paraId="00000015">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6">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8">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9">
      <w:pPr>
        <w:keepNext w:val="1"/>
        <w:spacing w:after="0" w:before="0" w:line="480" w:lineRule="auto"/>
        <w:jc w:val="center"/>
        <w:rPr/>
      </w:pPr>
      <w:r w:rsidDel="00000000" w:rsidR="00000000" w:rsidRPr="00000000">
        <w:rPr>
          <w:rtl w:val="0"/>
        </w:rPr>
      </w:r>
    </w:p>
    <w:p w:rsidR="00000000" w:rsidDel="00000000" w:rsidP="00000000" w:rsidRDefault="00000000" w:rsidRPr="00000000" w14:paraId="0000001A">
      <w:pPr>
        <w:keepNext w:val="1"/>
        <w:spacing w:after="0" w:before="0" w:line="480" w:lineRule="auto"/>
        <w:jc w:val="center"/>
        <w:rPr/>
      </w:pPr>
      <w:r w:rsidDel="00000000" w:rsidR="00000000" w:rsidRPr="00000000">
        <w:rPr>
          <w:b w:val="1"/>
          <w:bCs w:val="1"/>
          <w:rtl w:val="0"/>
        </w:rPr>
        <w:t xml:space="preserve">CHRYZ KEAN F. MANUEL</w:t>
      </w:r>
      <w:r w:rsidDel="00000000" w:rsidR="00000000" w:rsidRPr="00000000">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sidDel="00000000" w:rsidR="00000000" w:rsidRPr="00000000">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sidDel="00000000" w:rsidR="00000000" w:rsidRPr="00000000">
        <w:rPr>
          <w:rtl w:val="0"/>
        </w:rPr>
      </w:r>
    </w:p>
    <w:p w:rsidR="00000000" w:rsidDel="00000000" w:rsidP="00000000" w:rsidRDefault="00000000" w:rsidRPr="00000000" w14:paraId="0000001E">
      <w:pPr>
        <w:keepNext w:val="1"/>
        <w:spacing w:after="120" w:before="240" w:line="480" w:lineRule="auto"/>
        <w:ind w:firstLine="0"/>
        <w:rPr>
          <w:sz w:val="24"/>
          <w:szCs w:val="24"/>
        </w:rPr>
      </w:pPr>
      <w:r w:rsidDel="00000000" w:rsidR="00000000" w:rsidRPr="00000000">
        <w:rPr>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F">
      <w:pPr>
        <w:spacing w:after="0" w:before="0" w:line="480" w:lineRule="auto"/>
        <w:ind w:firstLine="720"/>
        <w:jc w:val="both"/>
        <w:rPr/>
      </w:pPr>
      <w:r w:rsidDel="00000000" w:rsidR="00000000" w:rsidRPr="00000000">
        <w:rPr>
          <w:rtl w:val="0"/>
        </w:rPr>
        <w:t xml:space="preserve">Certainty, it seems, is one thing academic writers are certain they should avoid. Writing guides urge developing researchers to “</w:t>
      </w:r>
      <w:r w:rsidDel="00000000" w:rsidR="00000000" w:rsidRPr="00000000">
        <w:rPr>
          <w:i w:val="1"/>
          <w:iCs w:val="1"/>
          <w:rtl w:val="0"/>
        </w:rPr>
        <w:t xml:space="preserve">qualify your claims</w:t>
      </w:r>
      <w:r w:rsidDel="00000000" w:rsidR="00000000" w:rsidRPr="00000000">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sidDel="00000000" w:rsidR="00000000" w:rsidRPr="00000000">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sidDel="00000000" w:rsidR="00000000" w:rsidRPr="00000000">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sidDel="00000000" w:rsidR="00000000" w:rsidRPr="00000000">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sidDel="00000000" w:rsidR="00000000" w:rsidRPr="00000000">
        <w:rPr>
          <w:i w:val="1"/>
          <w:iCs w:val="1"/>
          <w:sz w:val="24"/>
          <w:szCs w:val="24"/>
          <w:rtl w:val="0"/>
        </w:rPr>
        <w:t xml:space="preserve">Hedging in Undergraduate Writing</w:t>
      </w: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pPr>
      <w:r w:rsidDel="00000000" w:rsidR="00000000" w:rsidRPr="00000000">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sidDel="00000000" w:rsidR="00000000" w:rsidRPr="00000000">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Scientific and Medical Writing</w:t>
      </w:r>
      <w:r w:rsidDel="00000000" w:rsidR="00000000" w:rsidRPr="00000000">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sidDel="00000000" w:rsidR="00000000" w:rsidRPr="00000000">
        <w:rPr>
          <w:i w:val="1"/>
          <w:iCs w:val="1"/>
          <w:sz w:val="24"/>
          <w:szCs w:val="24"/>
          <w:rtl w:val="0"/>
        </w:rPr>
        <w:t xml:space="preserve">Hedging in L2 and EFL Contexts</w:t>
      </w:r>
      <w:r w:rsidDel="00000000" w:rsidR="00000000" w:rsidRPr="00000000">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sidDel="00000000" w:rsidR="00000000" w:rsidRPr="00000000">
        <w:rPr>
          <w:i w:val="1"/>
          <w:iCs w:val="1"/>
          <w:sz w:val="24"/>
          <w:szCs w:val="24"/>
          <w:rtl w:val="0"/>
        </w:rPr>
        <w:t xml:space="preserve">Hedging in Philippine Academic Writing Contexts</w:t>
      </w:r>
      <w:r w:rsidDel="00000000" w:rsidR="00000000" w:rsidRPr="00000000">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sidDel="00000000" w:rsidR="00000000" w:rsidRPr="00000000">
        <w:rPr>
          <w:i w:val="1"/>
          <w:iCs w:val="1"/>
          <w:sz w:val="24"/>
          <w:szCs w:val="24"/>
          <w:rtl w:val="0"/>
        </w:rPr>
        <w:t xml:space="preserve">Disciplinary Variation in Abstracts and Undergraduate Theses</w:t>
      </w:r>
      <w:r w:rsidDel="00000000" w:rsidR="00000000" w:rsidRPr="00000000">
        <w:rPr>
          <w:rtl w:val="0"/>
        </w:rPr>
      </w:r>
    </w:p>
    <w:p w:rsidR="00000000" w:rsidDel="00000000" w:rsidP="00000000" w:rsidRDefault="00000000" w:rsidRPr="00000000" w14:paraId="0000002F">
      <w:pPr>
        <w:spacing w:after="0" w:before="0" w:line="480" w:lineRule="auto"/>
        <w:ind w:firstLine="720"/>
        <w:jc w:val="both"/>
        <w:rPr/>
      </w:pPr>
      <w:r w:rsidDel="00000000" w:rsidR="00000000" w:rsidRPr="00000000">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sidDel="00000000" w:rsidR="00000000" w:rsidRPr="00000000">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sidDel="00000000" w:rsidR="00000000" w:rsidRPr="00000000">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sidDel="00000000" w:rsidR="00000000" w:rsidRPr="00000000">
        <w:rPr>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sidDel="00000000" w:rsidR="00000000" w:rsidRPr="00000000">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sidDel="00000000" w:rsidR="00000000" w:rsidRPr="00000000">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sidDel="00000000" w:rsidR="00000000" w:rsidRPr="00000000">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sidDel="00000000" w:rsidR="00000000" w:rsidRPr="00000000">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sidDel="00000000" w:rsidR="00000000" w:rsidRPr="00000000">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sidDel="00000000" w:rsidR="00000000" w:rsidRPr="00000000">
        <w:rPr>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A">
      <w:pPr>
        <w:spacing w:after="0" w:before="0" w:line="480" w:lineRule="auto"/>
        <w:ind w:firstLine="720"/>
        <w:jc w:val="both"/>
        <w:rPr/>
      </w:pPr>
      <w:r w:rsidDel="00000000" w:rsidR="00000000" w:rsidRPr="00000000">
        <w:rPr>
          <w:rtl w:val="0"/>
        </w:rPr>
        <w:t>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is reduced commitment to the truth of a knowledge claim. Politeness/deference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rsidR="00000000" w:rsidDel="00000000" w:rsidP="00000000" w:rsidRDefault="00000000" w:rsidRPr="00000000" w14:paraId="0000003B">
      <w:pPr>
        <w:spacing w:after="0" w:before="0" w:line="480" w:lineRule="auto"/>
        <w:ind w:firstLine="720"/>
        <w:jc w:val="both"/>
        <w:rPr/>
      </w:pPr>
      <w:r w:rsidDel="00000000" w:rsidR="00000000" w:rsidRPr="00000000">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sidDel="00000000" w:rsidR="00000000" w:rsidRPr="00000000">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3D">
      <w:pPr>
        <w:spacing w:after="0" w:before="0" w:line="480" w:lineRule="auto"/>
        <w:ind w:firstLine="720"/>
        <w:jc w:val="both"/>
        <w:rPr/>
      </w:pPr>
      <w:r w:rsidDel="00000000" w:rsidR="00000000" w:rsidRPr="00000000">
        <w:rPr>
          <w:rtl w:val="0"/>
        </w:rPr>
        <w:t xml:space="preserve">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rsidR="00000000" w:rsidDel="00000000" w:rsidP="00000000" w:rsidRDefault="00000000" w:rsidRPr="00000000" w14:paraId="0000003E">
      <w:pPr>
        <w:keepNext w:val="1"/>
        <w:spacing w:after="0" w:before="360" w:line="480" w:lineRule="auto"/>
        <w:jc w:val="center"/>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03F">
      <w:pPr>
        <w:spacing w:after="240" w:before="120" w:line="480" w:lineRule="auto"/>
        <w:jc w:val="center"/>
        <w:rPr/>
      </w:pPr>
      <w:r w:rsidDel="00000000" w:rsidR="00000000" w:rsidRPr="00000000">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0" w:line="480" w:lineRule="auto"/>
        <w:jc w:val="center"/>
        <w:rPr/>
      </w:pPr>
      <w:r w:rsidDel="00000000" w:rsidR="00000000" w:rsidRPr="00000000">
        <w:rPr>
          <w:i w:val="1"/>
          <w:iCs w:val="1"/>
          <w:rtl w:val="0"/>
        </w:rPr>
        <w:t xml:space="preserve">Conceptual Framework of the Study</w:t>
      </w:r>
      <w:r w:rsidDel="00000000" w:rsidR="00000000" w:rsidRPr="00000000">
        <w:rPr>
          <w:rtl w:val="0"/>
        </w:rPr>
      </w:r>
    </w:p>
    <w:p w:rsidR="00000000" w:rsidDel="00000000" w:rsidP="00000000" w:rsidRDefault="00000000" w:rsidRPr="00000000" w14:paraId="00000041">
      <w:pPr>
        <w:keepNext w:val="1"/>
        <w:spacing w:after="120" w:before="240" w:line="480" w:lineRule="auto"/>
        <w:ind w:firstLine="0"/>
        <w:rPr>
          <w:sz w:val="24"/>
          <w:szCs w:val="24"/>
        </w:rPr>
      </w:pPr>
      <w:r w:rsidDel="00000000" w:rsidR="00000000" w:rsidRPr="00000000">
        <w:rPr>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2">
      <w:pPr>
        <w:spacing w:after="0" w:before="0" w:line="480" w:lineRule="auto"/>
        <w:ind w:firstLine="720"/>
        <w:jc w:val="both"/>
        <w:rPr/>
      </w:pPr>
      <w:r w:rsidDel="00000000" w:rsidR="00000000" w:rsidRPr="00000000">
        <w:rPr>
          <w:b w:val="1"/>
          <w:bCs w:val="1"/>
          <w:rtl w:val="0"/>
        </w:rPr>
        <w:t xml:space="preserve">For writing instructors and thesis advisers at PSAU, </w:t>
      </w:r>
      <w:r w:rsidDel="00000000" w:rsidR="00000000" w:rsidRPr="00000000">
        <w:rPr>
          <w:rtl w:val="0"/>
        </w:rPr>
        <w:t xml:space="preserve">the study provides an empirical baseline of how uncertainty is managed in the ratified abstracts of three applied life sciences programs. That baseline can support more targeted feedback than generic advice to “</w:t>
      </w:r>
      <w:r w:rsidDel="00000000" w:rsidR="00000000" w:rsidRPr="00000000">
        <w:rPr>
          <w:i w:val="1"/>
          <w:iCs w:val="1"/>
          <w:rtl w:val="0"/>
        </w:rPr>
        <w:t xml:space="preserve">be cautious</w:t>
      </w:r>
      <w:r w:rsidDel="00000000" w:rsidR="00000000" w:rsidRPr="00000000">
        <w:rPr>
          <w:rtl w:val="0"/>
        </w:rPr>
        <w:t xml:space="preserve">.”</w:t>
      </w:r>
    </w:p>
    <w:p w:rsidR="00000000" w:rsidDel="00000000" w:rsidP="00000000" w:rsidRDefault="00000000" w:rsidRPr="00000000" w14:paraId="00000043">
      <w:pPr>
        <w:spacing w:after="0" w:before="0" w:line="480" w:lineRule="auto"/>
        <w:ind w:firstLine="720"/>
        <w:jc w:val="both"/>
        <w:rPr/>
      </w:pPr>
      <w:r w:rsidDel="00000000" w:rsidR="00000000" w:rsidRPr="00000000">
        <w:rPr>
          <w:b w:val="1"/>
          <w:bCs w:val="1"/>
          <w:rtl w:val="0"/>
        </w:rPr>
        <w:t xml:space="preserve">For academic writing researchers, </w:t>
      </w:r>
      <w:r w:rsidDel="00000000" w:rsidR="00000000" w:rsidRPr="00000000">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sidDel="00000000" w:rsidR="00000000" w:rsidRPr="00000000">
        <w:rPr>
          <w:b w:val="1"/>
          <w:bCs w:val="1"/>
          <w:rtl w:val="0"/>
        </w:rPr>
        <w:t xml:space="preserve">For the BAELS program, </w:t>
      </w:r>
      <w:r w:rsidDel="00000000" w:rsidR="00000000" w:rsidRPr="00000000">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sidDel="00000000" w:rsidR="00000000" w:rsidRPr="00000000">
        <w:rPr>
          <w:b w:val="1"/>
          <w:bCs w:val="1"/>
          <w:rtl w:val="0"/>
        </w:rPr>
        <w:t xml:space="preserve">For future researchers, </w:t>
      </w:r>
      <w:r w:rsidDel="00000000" w:rsidR="00000000" w:rsidRPr="00000000">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sidDel="00000000" w:rsidR="00000000" w:rsidRPr="00000000">
        <w:rPr>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sidDel="00000000" w:rsidR="00000000" w:rsidRPr="00000000">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sidDel="00000000" w:rsidR="00000000" w:rsidRPr="00000000">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sidDel="00000000" w:rsidR="00000000" w:rsidRPr="00000000">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sidDel="00000000" w:rsidR="00000000" w:rsidRPr="00000000">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sidDel="00000000" w:rsidR="00000000" w:rsidRPr="00000000">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sidDel="00000000" w:rsidR="00000000" w:rsidRPr="00000000">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sidDel="00000000" w:rsidR="00000000" w:rsidRPr="00000000">
        <w:rPr>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pPr>
      <w:r w:rsidDel="00000000" w:rsidR="00000000" w:rsidRPr="00000000">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sidDel="00000000" w:rsidR="00000000" w:rsidRPr="00000000">
        <w:rPr>
          <w:b w:val="1"/>
          <w:bCs w:val="1"/>
          <w:rtl w:val="0"/>
        </w:rPr>
        <w:t xml:space="preserve">Abstract</w:t>
      </w:r>
      <w:r w:rsidDel="00000000" w:rsidR="00000000" w:rsidRPr="00000000">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sidDel="00000000" w:rsidR="00000000" w:rsidRPr="00000000">
        <w:rPr>
          <w:b w:val="1"/>
          <w:bCs w:val="1"/>
          <w:rtl w:val="0"/>
        </w:rPr>
        <w:t xml:space="preserve">Adverbial Hedges</w:t>
      </w:r>
      <w:r w:rsidDel="00000000" w:rsidR="00000000" w:rsidRPr="00000000">
        <w:rPr>
          <w:rtl w:val="0"/>
        </w:rPr>
        <w:t xml:space="preserve">, conceptually, are adverbs or adverbial expressions that qualify the scope, frequency, or certainty of a proposition. Operationally, these include </w:t>
      </w:r>
      <w:r w:rsidDel="00000000" w:rsidR="00000000" w:rsidRPr="00000000">
        <w:rPr>
          <w:i w:val="1"/>
          <w:iCs w:val="1"/>
          <w:rtl w:val="0"/>
        </w:rPr>
        <w:t xml:space="preserve">generally, typically, possibly, probably, relatively, and essentially</w:t>
      </w:r>
      <w:r w:rsidDel="00000000" w:rsidR="00000000" w:rsidRPr="00000000">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sidDel="00000000" w:rsidR="00000000" w:rsidRPr="00000000">
        <w:rPr>
          <w:b w:val="1"/>
          <w:bCs w:val="1"/>
          <w:rtl w:val="0"/>
        </w:rPr>
        <w:t xml:space="preserve">Applied Life Sciences</w:t>
      </w:r>
      <w:r w:rsidDel="00000000" w:rsidR="00000000" w:rsidRPr="00000000">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sidDel="00000000" w:rsidR="00000000" w:rsidRPr="00000000">
        <w:rPr>
          <w:b w:val="1"/>
          <w:bCs w:val="1"/>
          <w:rtl w:val="0"/>
        </w:rPr>
        <w:t xml:space="preserve">Claim Responsibility</w:t>
      </w:r>
      <w:r w:rsidDel="00000000" w:rsidR="00000000" w:rsidRPr="00000000">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sidDel="00000000" w:rsidR="00000000" w:rsidRPr="00000000">
        <w:rPr>
          <w:b w:val="1"/>
          <w:bCs w:val="1"/>
          <w:rtl w:val="0"/>
        </w:rPr>
        <w:t xml:space="preserve">Clause-Level Hedges</w:t>
      </w:r>
      <w:r w:rsidDel="00000000" w:rsidR="00000000" w:rsidRPr="00000000">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sidDel="00000000" w:rsidR="00000000" w:rsidRPr="00000000">
        <w:rPr>
          <w:b w:val="1"/>
          <w:bCs w:val="1"/>
          <w:rtl w:val="0"/>
        </w:rPr>
        <w:t xml:space="preserve">Corpus-Assisted Discourse Analysis</w:t>
      </w:r>
      <w:r w:rsidDel="00000000" w:rsidR="00000000" w:rsidRPr="00000000">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sidDel="00000000" w:rsidR="00000000" w:rsidRPr="00000000">
        <w:rPr>
          <w:b w:val="1"/>
          <w:bCs w:val="1"/>
          <w:rtl w:val="0"/>
        </w:rPr>
        <w:t xml:space="preserve">Disciplinary Variation</w:t>
      </w:r>
      <w:r w:rsidDel="00000000" w:rsidR="00000000" w:rsidRPr="00000000">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sidDel="00000000" w:rsidR="00000000" w:rsidRPr="00000000">
        <w:rPr>
          <w:b w:val="1"/>
          <w:bCs w:val="1"/>
          <w:rtl w:val="0"/>
        </w:rPr>
        <w:t xml:space="preserve">Epistemic Stance</w:t>
      </w:r>
      <w:r w:rsidDel="00000000" w:rsidR="00000000" w:rsidRPr="00000000">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sidDel="00000000" w:rsidR="00000000" w:rsidRPr="00000000">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sidDel="00000000" w:rsidR="00000000" w:rsidRPr="00000000">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sidDel="00000000" w:rsidR="00000000" w:rsidRPr="00000000">
        <w:rPr>
          <w:b w:val="1"/>
          <w:bCs w:val="1"/>
          <w:rtl w:val="0"/>
        </w:rPr>
        <w:t xml:space="preserve">Hedging</w:t>
      </w:r>
      <w:r w:rsidDel="00000000" w:rsidR="00000000" w:rsidRPr="00000000">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sidDel="00000000" w:rsidR="00000000" w:rsidRPr="00000000">
        <w:rPr>
          <w:b w:val="1"/>
          <w:bCs w:val="1"/>
          <w:rtl w:val="0"/>
        </w:rPr>
        <w:t xml:space="preserve">Lexical Hedges</w:t>
      </w:r>
      <w:r w:rsidDel="00000000" w:rsidR="00000000" w:rsidRPr="00000000">
        <w:rPr>
          <w:rtl w:val="0"/>
        </w:rPr>
        <w:t xml:space="preserve">, conceptually, are verbs, adjectives, or nouns that introduce uncertainty or tentativeness at the propositional level. Operationally, these include verbs such as </w:t>
      </w:r>
      <w:r w:rsidDel="00000000" w:rsidR="00000000" w:rsidRPr="00000000">
        <w:rPr>
          <w:i w:val="1"/>
          <w:iCs w:val="1"/>
          <w:rtl w:val="0"/>
        </w:rPr>
        <w:t xml:space="preserve">suggest, indicate, appear</w:t>
      </w:r>
      <w:r w:rsidDel="00000000" w:rsidR="00000000" w:rsidRPr="00000000">
        <w:rPr>
          <w:rtl w:val="0"/>
        </w:rPr>
        <w:t xml:space="preserve">, and </w:t>
      </w:r>
      <w:r w:rsidDel="00000000" w:rsidR="00000000" w:rsidRPr="00000000">
        <w:rPr>
          <w:i w:val="1"/>
          <w:iCs w:val="1"/>
          <w:rtl w:val="0"/>
        </w:rPr>
        <w:t xml:space="preserve">seem</w:t>
      </w:r>
      <w:r w:rsidDel="00000000" w:rsidR="00000000" w:rsidRPr="00000000">
        <w:rPr>
          <w:rtl w:val="0"/>
        </w:rPr>
        <w:t xml:space="preserve">. They also include adjectives such as possible, probable, and likely, and nouns such as </w:t>
      </w:r>
      <w:r w:rsidDel="00000000" w:rsidR="00000000" w:rsidRPr="00000000">
        <w:rPr>
          <w:i w:val="1"/>
          <w:iCs w:val="1"/>
          <w:rtl w:val="0"/>
        </w:rPr>
        <w:t xml:space="preserve">possibility</w:t>
      </w:r>
      <w:r w:rsidDel="00000000" w:rsidR="00000000" w:rsidRPr="00000000">
        <w:rPr>
          <w:rtl w:val="0"/>
        </w:rPr>
        <w:t xml:space="preserve"> and </w:t>
      </w:r>
      <w:r w:rsidDel="00000000" w:rsidR="00000000" w:rsidRPr="00000000">
        <w:rPr>
          <w:i w:val="1"/>
          <w:iCs w:val="1"/>
          <w:rtl w:val="0"/>
        </w:rPr>
        <w:t xml:space="preserve">assumption</w:t>
      </w:r>
      <w:r w:rsidDel="00000000" w:rsidR="00000000" w:rsidRPr="00000000">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sidDel="00000000" w:rsidR="00000000" w:rsidRPr="00000000">
        <w:rPr>
          <w:b w:val="1"/>
          <w:bCs w:val="1"/>
          <w:rtl w:val="0"/>
        </w:rPr>
        <w:t xml:space="preserve">Modal Verbs</w:t>
      </w:r>
      <w:r w:rsidDel="00000000" w:rsidR="00000000" w:rsidRPr="00000000">
        <w:rPr>
          <w:rtl w:val="0"/>
        </w:rPr>
        <w:t xml:space="preserve">, conceptually, are auxiliary verbs that express degrees of possibility, probability, or conditionality. Operationally, these include </w:t>
      </w:r>
      <w:r w:rsidDel="00000000" w:rsidR="00000000" w:rsidRPr="00000000">
        <w:rPr>
          <w:i w:val="1"/>
          <w:iCs w:val="1"/>
          <w:rtl w:val="0"/>
        </w:rPr>
        <w:t xml:space="preserve">may, might, could, would, should</w:t>
      </w:r>
      <w:r w:rsidDel="00000000" w:rsidR="00000000" w:rsidRPr="00000000">
        <w:rPr>
          <w:rtl w:val="0"/>
        </w:rPr>
        <w:t xml:space="preserve">, and </w:t>
      </w:r>
      <w:r w:rsidDel="00000000" w:rsidR="00000000" w:rsidRPr="00000000">
        <w:rPr>
          <w:i w:val="1"/>
          <w:iCs w:val="1"/>
          <w:rtl w:val="0"/>
        </w:rPr>
        <w:t xml:space="preserve">can</w:t>
      </w:r>
      <w:r w:rsidDel="00000000" w:rsidR="00000000" w:rsidRPr="00000000">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sidDel="00000000" w:rsidR="00000000" w:rsidRPr="00000000">
        <w:rPr>
          <w:b w:val="1"/>
          <w:bCs w:val="1"/>
          <w:rtl w:val="0"/>
        </w:rPr>
        <w:t xml:space="preserve">Normalized Frequency</w:t>
      </w:r>
      <w:r w:rsidDel="00000000" w:rsidR="00000000" w:rsidRPr="00000000">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sidDel="00000000" w:rsidR="00000000" w:rsidRPr="00000000">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sidDel="00000000" w:rsidR="00000000" w:rsidRPr="00000000">
        <w:rPr>
          <w:b w:val="1"/>
          <w:bCs w:val="1"/>
          <w:rtl w:val="0"/>
        </w:rPr>
        <w:t xml:space="preserve">Rescue-Hedging (Rescue Framing)</w:t>
      </w:r>
      <w:r w:rsidDel="00000000" w:rsidR="00000000" w:rsidRPr="00000000">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sidDel="00000000" w:rsidR="00000000" w:rsidRPr="00000000">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sidDel="00000000" w:rsidR="00000000" w:rsidRPr="00000000">
        <w:rPr>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6">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67">
      <w:pPr>
        <w:spacing w:after="0" w:before="0" w:line="480" w:lineRule="auto"/>
        <w:ind w:firstLine="720"/>
        <w:jc w:val="both"/>
        <w:rPr/>
      </w:pPr>
      <w:r w:rsidDel="00000000" w:rsidR="00000000" w:rsidRPr="00000000">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sidDel="00000000" w:rsidR="00000000" w:rsidRPr="00000000">
        <w:rPr>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69">
      <w:pPr>
        <w:spacing w:after="0" w:before="0" w:line="480" w:lineRule="auto"/>
        <w:ind w:firstLine="720"/>
        <w:jc w:val="both"/>
        <w:rPr/>
      </w:pPr>
      <w:r w:rsidDel="00000000" w:rsidR="00000000" w:rsidRPr="00000000">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sidDel="00000000" w:rsidR="00000000" w:rsidRPr="00000000">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sidDel="00000000" w:rsidR="00000000" w:rsidRPr="00000000">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pPr>
      <w:r w:rsidDel="00000000" w:rsidR="00000000" w:rsidRPr="00000000">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sidDel="00000000" w:rsidR="00000000" w:rsidRPr="00000000">
        <w:rPr>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6F">
      <w:pPr>
        <w:spacing w:after="0" w:before="0" w:line="480" w:lineRule="auto"/>
        <w:ind w:firstLine="720"/>
        <w:jc w:val="both"/>
        <w:rPr/>
      </w:pPr>
      <w:r w:rsidDel="00000000" w:rsidR="00000000" w:rsidRPr="00000000">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sidDel="00000000" w:rsidR="00000000" w:rsidRPr="00000000">
        <w:rPr>
          <w:b w:val="1"/>
          <w:bCs w:val="1"/>
          <w:rtl w:val="0"/>
        </w:rPr>
        <w:t xml:space="preserve">a. Requesting Permission. </w:t>
      </w:r>
      <w:r w:rsidDel="00000000" w:rsidR="00000000" w:rsidRPr="00000000">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sidDel="00000000" w:rsidR="00000000" w:rsidRPr="00000000">
        <w:rPr>
          <w:b w:val="1"/>
          <w:bCs w:val="1"/>
          <w:rtl w:val="0"/>
        </w:rPr>
        <w:t xml:space="preserve">b. Corpus Construction.</w:t>
      </w:r>
      <w:r w:rsidDel="00000000" w:rsidR="00000000" w:rsidRPr="00000000">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sidDel="00000000" w:rsidR="00000000" w:rsidRPr="00000000">
        <w:rPr>
          <w:b w:val="1"/>
          <w:bCs w:val="1"/>
          <w:rtl w:val="0"/>
        </w:rPr>
        <w:t xml:space="preserve">c. Text Extraction.</w:t>
      </w:r>
      <w:r w:rsidDel="00000000" w:rsidR="00000000" w:rsidRPr="00000000">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sidDel="00000000" w:rsidR="00000000" w:rsidRPr="00000000">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sidDel="00000000" w:rsidR="00000000" w:rsidRPr="00000000">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sidDel="00000000" w:rsidR="00000000" w:rsidRPr="00000000">
        <w:rPr>
          <w:b w:val="1"/>
          <w:bCs w:val="1"/>
          <w:rtl w:val="0"/>
        </w:rPr>
        <w:t xml:space="preserve">f. Timeline. </w:t>
      </w:r>
      <w:r w:rsidDel="00000000" w:rsidR="00000000" w:rsidRPr="00000000">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sidDel="00000000" w:rsidR="00000000" w:rsidRPr="00000000">
        <w:rPr>
          <w:b w:val="1"/>
          <w:bCs w:val="1"/>
          <w:sz w:val="24"/>
          <w:szCs w:val="24"/>
          <w:rtl w:val="0"/>
        </w:rPr>
        <w:t xml:space="preserve">Coding Decision Rules for Ambiguous Cases</w:t>
      </w:r>
      <w:r w:rsidDel="00000000" w:rsidR="00000000" w:rsidRPr="00000000">
        <w:rPr>
          <w:rtl w:val="0"/>
        </w:rPr>
      </w:r>
    </w:p>
    <w:p w:rsidR="00000000" w:rsidDel="00000000" w:rsidP="00000000" w:rsidRDefault="00000000" w:rsidRPr="00000000" w14:paraId="00000077">
      <w:pPr>
        <w:spacing w:after="0" w:before="0" w:line="480" w:lineRule="auto"/>
        <w:ind w:firstLine="720"/>
        <w:jc w:val="both"/>
        <w:rPr/>
      </w:pPr>
      <w:r>
        <w:rPr>
          <w:rFonts w:ascii="Georgia" w:hAnsi="Georgia" w:eastAsia="Georgia"/>
          <w:b w:val="0"/>
          <w:sz w:val="22"/>
        </w:rPr>
        <w:t>Ambiguous forms such as can, potential, indicating, and possibility may function either as epistemic hedges or as non-epistemic lexical items depending on context. Table 1 summarizes how the claim condition and the two removal checks are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2"/>
        <w:tblW w:w="8307.0" w:type="dxa"/>
        <w:jc w:val="left"/>
        <w:tblInd w:w="-223.0" w:type="dxa"/>
        <w:tblLayout w:type="fixed"/>
        <w:tblLook w:val="0400"/>
      </w:tblPr>
      <w:tblGrid>
        <w:gridCol w:w="2769"/>
        <w:gridCol w:w="2769"/>
        <w:gridCol w:w="2769"/>
      </w:tblGrid>
      <w:tr>
        <w:tc>
          <w:tcPr>
            <w:tcW w:w="2769" w:type="dxa"/>
            <w:tcBorders>
              <w:top w:color="000000" w:space="0" w:sz="18" w:val="single"/>
              <w:bottom w:color="000000" w:space="0" w:sz="4" w:val="single"/>
            </w:tcBorders>
          </w:tcPr>
          <w:p>
            <w:pPr>
              <w:spacing w:before="0" w:after="0" w:line="240" w:lineRule="auto"/>
              <w:jc w:val="left"/>
            </w:pPr>
            <w:r>
              <w:rPr>
                <w:b/>
                <w:sz w:val="18"/>
              </w:rPr>
              <w:t>Token / construction</w:t>
            </w:r>
          </w:p>
        </w:tc>
        <w:tc>
          <w:tcPr>
            <w:tcW w:w="2769" w:type="dxa"/>
            <w:tcBorders>
              <w:top w:color="000000" w:space="0" w:sz="18" w:val="single"/>
              <w:bottom w:color="000000" w:space="0" w:sz="4" w:val="single"/>
            </w:tcBorders>
          </w:tcPr>
          <w:p>
            <w:pPr>
              <w:spacing w:before="0" w:after="0" w:line="240" w:lineRule="auto"/>
              <w:jc w:val="left"/>
            </w:pPr>
            <w:r>
              <w:rPr>
                <w:b/>
                <w:sz w:val="18"/>
              </w:rPr>
              <w:t>Hedge when</w:t>
            </w:r>
          </w:p>
        </w:tc>
        <w:tc>
          <w:tcPr>
            <w:tcW w:w="2769" w:type="dxa"/>
            <w:tcBorders>
              <w:top w:color="000000" w:space="0" w:sz="18" w:val="single"/>
              <w:bottom w:color="000000" w:space="0" w:sz="4" w:val="single"/>
            </w:tcBorders>
          </w:tcPr>
          <w:p>
            <w:pPr>
              <w:spacing w:before="0" w:after="0" w:line="240" w:lineRule="auto"/>
              <w:jc w:val="left"/>
            </w:pPr>
            <w:r>
              <w:rPr>
                <w:b/>
                <w:sz w:val="18"/>
              </w:rPr>
              <w:t>Not a hedge when</w:t>
            </w:r>
          </w:p>
        </w:tc>
      </w:tr>
      <w:tr>
        <w:tc>
          <w:tcPr>
            <w:tcW w:w="2769" w:type="dxa"/>
          </w:tcPr>
          <w:p>
            <w:pPr>
              <w:spacing w:before="0" w:after="0" w:line="240" w:lineRule="auto"/>
              <w:jc w:val="left"/>
            </w:pPr>
            <w:r>
              <w:rPr>
                <w:b w:val="0"/>
                <w:sz w:val="18"/>
              </w:rPr>
              <w:t>can + active content verb (e.g., enhance, promote, reduce, help)</w:t>
            </w:r>
          </w:p>
        </w:tc>
        <w:tc>
          <w:tcPr>
            <w:tcW w:w="2769" w:type="dxa"/>
          </w:tcPr>
          <w:p>
            <w:pPr>
              <w:spacing w:before="0" w:after="0" w:line="240" w:lineRule="auto"/>
              <w:jc w:val="left"/>
            </w:pPr>
            <w:r>
              <w:rPr>
                <w:b w:val="0"/>
                <w:sz w:val="18"/>
              </w:rPr>
              <w:t>Removing can raises the epistemic weight of a finding-claim (possibility reading).</w:t>
            </w:r>
          </w:p>
        </w:tc>
        <w:tc>
          <w:tcPr>
            <w:tcW w:w="2769" w:type="dxa"/>
          </w:tcPr>
          <w:p>
            <w:pPr>
              <w:spacing w:before="0" w:after="0" w:line="240" w:lineRule="auto"/>
              <w:jc w:val="left"/>
            </w:pPr>
            <w:r>
              <w:rPr>
                <w:b w:val="0"/>
                <w:sz w:val="18"/>
              </w:rPr>
              <w:t>Marks capability or ability only (false positive).</w:t>
            </w:r>
          </w:p>
        </w:tc>
      </w:tr>
      <w:tr>
        <w:tc>
          <w:tcPr>
            <w:tcW w:w="2769" w:type="dxa"/>
          </w:tcPr>
          <w:p>
            <w:pPr>
              <w:spacing w:before="0" w:after="0" w:line="240" w:lineRule="auto"/>
              <w:jc w:val="left"/>
            </w:pPr>
            <w:r>
              <w:rPr>
                <w:b w:val="0"/>
                <w:sz w:val="18"/>
              </w:rPr>
              <w:t>indicating / indicates</w:t>
            </w:r>
          </w:p>
        </w:tc>
        <w:tc>
          <w:tcPr>
            <w:tcW w:w="2769" w:type="dxa"/>
          </w:tcPr>
          <w:p>
            <w:pPr>
              <w:spacing w:before="0" w:after="0" w:line="240" w:lineRule="auto"/>
              <w:jc w:val="left"/>
            </w:pPr>
            <w:r>
              <w:rPr>
                <w:b w:val="0"/>
                <w:sz w:val="18"/>
              </w:rPr>
              <w:t>Introduces an inference beyond the operational definition of the result.</w:t>
            </w:r>
          </w:p>
        </w:tc>
        <w:tc>
          <w:tcPr>
            <w:tcW w:w="2769" w:type="dxa"/>
          </w:tcPr>
          <w:p>
            <w:pPr>
              <w:spacing w:before="0" w:after="0" w:line="240" w:lineRule="auto"/>
              <w:jc w:val="left"/>
            </w:pPr>
            <w:r>
              <w:rPr>
                <w:b w:val="0"/>
                <w:sz w:val="18"/>
              </w:rPr>
              <w:t>Restates a field-standard threshold or the operational meaning of the measure (false positive).</w:t>
            </w:r>
          </w:p>
        </w:tc>
      </w:tr>
      <w:tr>
        <w:tc>
          <w:tcPr>
            <w:tcW w:w="2769" w:type="dxa"/>
          </w:tcPr>
          <w:p>
            <w:pPr>
              <w:spacing w:before="0" w:after="0" w:line="240" w:lineRule="auto"/>
              <w:jc w:val="left"/>
            </w:pPr>
            <w:r>
              <w:rPr>
                <w:b w:val="0"/>
                <w:sz w:val="18"/>
              </w:rPr>
              <w:t>potential + noun</w:t>
            </w:r>
          </w:p>
        </w:tc>
        <w:tc>
          <w:tcPr>
            <w:tcW w:w="2769" w:type="dxa"/>
          </w:tcPr>
          <w:p>
            <w:pPr>
              <w:spacing w:before="0" w:after="0" w:line="240" w:lineRule="auto"/>
              <w:jc w:val="left"/>
            </w:pPr>
            <w:r>
              <w:rPr>
                <w:b w:val="0"/>
                <w:sz w:val="18"/>
              </w:rPr>
              <w:t>Results or conclusion frame that qualifies a finding-claim, and the Working Test holds.</w:t>
            </w:r>
          </w:p>
        </w:tc>
        <w:tc>
          <w:tcPr>
            <w:tcW w:w="2769" w:type="dxa"/>
          </w:tcPr>
          <w:p>
            <w:pPr>
              <w:spacing w:before="0" w:after="0" w:line="240" w:lineRule="auto"/>
              <w:jc w:val="left"/>
            </w:pPr>
            <w:r>
              <w:rPr>
                <w:b w:val="0"/>
                <w:sz w:val="18"/>
              </w:rPr>
              <w:t>Aim or methods clause (non-claim / topic-naming; fails the claim condition).</w:t>
            </w:r>
          </w:p>
        </w:tc>
      </w:tr>
      <w:tr>
        <w:tc>
          <w:tcPr>
            <w:tcW w:w="2769" w:type="dxa"/>
          </w:tcPr>
          <w:p>
            <w:pPr>
              <w:spacing w:before="0" w:after="0" w:line="240" w:lineRule="auto"/>
              <w:jc w:val="left"/>
            </w:pPr>
            <w:r>
              <w:rPr>
                <w:b w:val="0"/>
                <w:sz w:val="18"/>
              </w:rPr>
              <w:t>possibility + noun</w:t>
            </w:r>
          </w:p>
        </w:tc>
        <w:tc>
          <w:tcPr>
            <w:tcW w:w="2769" w:type="dxa"/>
          </w:tcPr>
          <w:p>
            <w:pPr>
              <w:spacing w:before="0" w:after="0" w:line="240" w:lineRule="auto"/>
              <w:jc w:val="left"/>
            </w:pPr>
            <w:r>
              <w:rPr>
                <w:b w:val="0"/>
                <w:sz w:val="18"/>
              </w:rPr>
              <w:t>Same claim-condition treatment as potential when the host is a finding-claim.</w:t>
            </w:r>
          </w:p>
        </w:tc>
        <w:tc>
          <w:tcPr>
            <w:tcW w:w="2769" w:type="dxa"/>
          </w:tcPr>
          <w:p>
            <w:pPr>
              <w:spacing w:before="0" w:after="0" w:line="240" w:lineRule="auto"/>
              <w:jc w:val="left"/>
            </w:pPr>
            <w:r>
              <w:rPr>
                <w:b w:val="0"/>
                <w:sz w:val="18"/>
              </w:rPr>
              <w:t>Aim or method sentence (non-claim).</w:t>
            </w:r>
          </w:p>
        </w:tc>
      </w:tr>
      <w:tr>
        <w:tc>
          <w:tcPr>
            <w:tcW w:w="2769" w:type="dxa"/>
            <w:tcBorders>
              <w:bottom w:color="000000" w:space="0" w:sz="18" w:val="single"/>
            </w:tcBorders>
          </w:tcPr>
          <w:p>
            <w:pPr>
              <w:spacing w:before="0" w:after="0" w:line="240" w:lineRule="auto"/>
              <w:jc w:val="left"/>
            </w:pPr>
            <w:r>
              <w:rPr>
                <w:b w:val="0"/>
                <w:sz w:val="18"/>
              </w:rPr>
              <w:t>Multiple hedge-like tokens in one sentence</w:t>
            </w:r>
          </w:p>
        </w:tc>
        <w:tc>
          <w:tcPr>
            <w:tcW w:w="2769" w:type="dxa"/>
            <w:tcBorders>
              <w:bottom w:color="000000" w:space="0" w:sz="18" w:val="single"/>
            </w:tcBorders>
          </w:tcPr>
          <w:p>
            <w:pPr>
              <w:spacing w:before="0" w:after="0" w:line="240" w:lineRule="auto"/>
              <w:jc w:val="left"/>
            </w:pPr>
            <w:r>
              <w:rPr>
                <w:b w:val="0"/>
                <w:sz w:val="18"/>
              </w:rPr>
              <w:t>Each token is tested on its own host clause under the claim condition and the two removal checks.</w:t>
            </w:r>
          </w:p>
        </w:tc>
        <w:tc>
          <w:tcPr>
            <w:tcW w:w="2769" w:type="dxa"/>
            <w:tcBorders>
              <w:bottom w:color="000000" w:space="0" w:sz="18" w:val="single"/>
            </w:tcBorders>
          </w:tcPr>
          <w:p>
            <w:pPr>
              <w:spacing w:before="0" w:after="0" w:line="240" w:lineRule="auto"/>
              <w:jc w:val="left"/>
            </w:pPr>
            <w:r>
              <w:rPr>
                <w:b w:val="0"/>
                <w:sz w:val="18"/>
              </w:rPr>
              <w:t>A preceding hedge (e.g., suggest) does not determine the function of another token (e.g., can).</w:t>
            </w:r>
          </w:p>
        </w:tc>
      </w:tr>
    </w:tbl>
    <w:p w:rsidR="00000000" w:rsidDel="00000000" w:rsidP="00000000" w:rsidRDefault="00000000" w:rsidRPr="00000000" w14:paraId="00000078">
      <w:pPr>
        <w:keepNext w:val="1"/>
        <w:spacing w:after="120" w:before="240" w:line="480" w:lineRule="auto"/>
        <w:ind w:firstLine="0"/>
        <w:rPr>
          <w:sz w:val="24"/>
          <w:szCs w:val="24"/>
        </w:rPr>
      </w:pPr>
      <w:r w:rsidDel="00000000" w:rsidR="00000000" w:rsidRPr="00000000">
        <w:rPr>
          <w:b w:val="1"/>
          <w:bCs w:val="1"/>
          <w:sz w:val="24"/>
          <w:szCs w:val="24"/>
          <w:rtl w:val="0"/>
        </w:rPr>
        <w:t xml:space="preserve">Research Corpus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rsidDel="00000000" w:rsidR="00000000" w:rsidRPr="00000000">
        <w:br w:type="page"/>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pPr>
      <w:r w:rsidDel="00000000" w:rsidR="00000000" w:rsidRPr="00000000">
        <w:rPr>
          <w:b w:val="1"/>
          <w:bCs w:val="1"/>
          <w:rtl w:val="0"/>
        </w:rPr>
        <w:t xml:space="preserve">Inclusion Criteria. </w:t>
      </w:r>
      <w:r w:rsidDel="00000000" w:rsidR="00000000" w:rsidRPr="00000000">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sidDel="00000000" w:rsidR="00000000" w:rsidRPr="00000000">
        <w:rPr>
          <w:b w:val="1"/>
          <w:bCs w:val="1"/>
          <w:rtl w:val="0"/>
        </w:rPr>
        <w:t xml:space="preserve">Exclusion Criteria. </w:t>
      </w:r>
      <w:r w:rsidDel="00000000" w:rsidR="00000000" w:rsidRPr="00000000">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sidDel="00000000" w:rsidR="00000000" w:rsidRPr="00000000">
        <w:rPr>
          <w:b w:val="1"/>
          <w:bCs w:val="1"/>
          <w:rtl w:val="0"/>
        </w:rPr>
        <w:t xml:space="preserve">Ethical Considerations.</w:t>
      </w:r>
      <w:r w:rsidDel="00000000" w:rsidR="00000000" w:rsidRPr="00000000">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sidDel="00000000" w:rsidR="00000000" w:rsidRPr="00000000">
        <w:rPr>
          <w:b w:val="1"/>
          <w:bCs w:val="1"/>
          <w:sz w:val="28"/>
          <w:szCs w:val="28"/>
          <w:rtl w:val="0"/>
        </w:rPr>
        <w:t xml:space="preserve">RESULTS, ANALYSIS, AND DISCUSSION</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0A6">
      <w:pPr>
        <w:spacing w:after="0" w:before="0" w:line="480" w:lineRule="auto"/>
        <w:ind w:firstLine="720"/>
        <w:jc w:val="both"/>
        <w:rPr/>
      </w:pPr>
      <w:r w:rsidDel="00000000" w:rsidR="00000000" w:rsidRPr="00000000">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sidDel="00000000" w:rsidR="00000000" w:rsidRPr="00000000">
        <w:rPr>
          <w:rtl w:val="0"/>
        </w:rPr>
        <w:t xml:space="preserve">PSAU Thesis Repository: Population and Sampling Summary</w:t>
      </w:r>
    </w:p>
    <w:tbl>
      <w:tblPr>
        <w:tblStyle w:val="Table1"/>
        <w:tblW w:w="8303.0" w:type="dxa"/>
        <w:jc w:val="left"/>
        <w:tblInd w:w="-223.0" w:type="dxa"/>
        <w:tblLayout w:type="fixed"/>
        <w:tblLook w:val="0400"/>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07C">
            <w:pPr>
              <w:spacing w:after="0" w:before="0" w:line="480" w:lineRule="auto"/>
              <w:rPr>
                <w:sz w:val="18"/>
                <w:szCs w:val="18"/>
              </w:rPr>
            </w:pPr>
            <w:r w:rsidDel="00000000" w:rsidR="00000000" w:rsidRPr="00000000">
              <w:rPr>
                <w:b w:val="1"/>
                <w:bCs w:val="1"/>
                <w:i w:val="0"/>
                <w:iCs w:val="0"/>
                <w:sz w:val="18"/>
                <w:szCs w:val="18"/>
                <w:rtl w:val="0"/>
              </w:rPr>
              <w:t xml:space="preserve">Category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D">
            <w:pPr>
              <w:spacing w:after="0" w:before="0" w:line="480" w:lineRule="auto"/>
              <w:rPr>
                <w:sz w:val="18"/>
                <w:szCs w:val="18"/>
              </w:rPr>
            </w:pPr>
            <w:r w:rsidDel="00000000" w:rsidR="00000000" w:rsidRPr="00000000">
              <w:rPr>
                <w:b w:val="1"/>
                <w:bCs w:val="1"/>
                <w:i w:val="0"/>
                <w:iCs w:val="0"/>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E">
            <w:pPr>
              <w:spacing w:after="0" w:before="0" w:line="480" w:lineRule="auto"/>
              <w:rPr>
                <w:sz w:val="18"/>
                <w:szCs w:val="18"/>
              </w:rPr>
            </w:pPr>
            <w:r w:rsidDel="00000000" w:rsidR="00000000" w:rsidRPr="00000000">
              <w:rPr>
                <w:b w:val="1"/>
                <w:bCs w:val="1"/>
                <w:i w:val="0"/>
                <w:iCs w:val="0"/>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7F">
            <w:pPr>
              <w:spacing w:after="0" w:before="0" w:line="480" w:lineRule="auto"/>
              <w:rPr>
                <w:sz w:val="18"/>
                <w:szCs w:val="18"/>
              </w:rPr>
            </w:pPr>
            <w:r w:rsidDel="00000000" w:rsidR="00000000" w:rsidRPr="00000000">
              <w:rPr>
                <w:b w:val="1"/>
                <w:bCs w:val="1"/>
                <w:i w:val="0"/>
                <w:iCs w:val="0"/>
                <w:sz w:val="18"/>
                <w:szCs w:val="18"/>
                <w:rtl w:val="0"/>
              </w:rPr>
              <w:t xml:space="preserve">Animal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0">
            <w:pPr>
              <w:spacing w:after="0" w:before="0" w:line="480" w:lineRule="auto"/>
              <w:rPr>
                <w:sz w:val="18"/>
                <w:szCs w:val="18"/>
              </w:rPr>
            </w:pPr>
            <w:r w:rsidDel="00000000" w:rsidR="00000000" w:rsidRPr="00000000">
              <w:rPr>
                <w:b w:val="1"/>
                <w:bCs w:val="1"/>
                <w:i w:val="0"/>
                <w:iCs w:val="0"/>
                <w:sz w:val="18"/>
                <w:szCs w:val="18"/>
                <w:rtl w:val="0"/>
              </w:rPr>
              <w:t xml:space="preserve">Crop Science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081">
            <w:pPr>
              <w:spacing w:after="0" w:before="0" w:line="480" w:lineRule="auto"/>
              <w:rPr>
                <w:sz w:val="18"/>
                <w:szCs w:val="18"/>
              </w:rPr>
            </w:pPr>
            <w:r w:rsidDel="00000000" w:rsidR="00000000" w:rsidRPr="00000000">
              <w:rPr>
                <w:b w:val="1"/>
                <w:bCs w:val="1"/>
                <w:i w:val="0"/>
                <w:iCs w:val="0"/>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before="0" w:line="480" w:lineRule="auto"/>
              <w:rPr>
                <w:sz w:val="18"/>
                <w:szCs w:val="18"/>
              </w:rPr>
            </w:pPr>
            <w:r w:rsidDel="00000000" w:rsidR="00000000" w:rsidRPr="00000000">
              <w:rPr>
                <w:i w:val="0"/>
                <w:iCs w:val="0"/>
                <w:sz w:val="18"/>
                <w:szCs w:val="18"/>
                <w:rtl w:val="0"/>
              </w:rPr>
              <w:t xml:space="preserve">Total repository</w:t>
            </w:r>
            <w:r w:rsidDel="00000000" w:rsidR="00000000" w:rsidRPr="00000000">
              <w:rPr>
                <w:rtl w:val="0"/>
              </w:rPr>
            </w:r>
          </w:p>
        </w:tc>
        <w:tc>
          <w:tcPr/>
          <w:p w:rsidR="00000000" w:rsidDel="00000000" w:rsidP="00000000" w:rsidRDefault="00000000" w:rsidRPr="00000000" w14:paraId="00000083">
            <w:pPr>
              <w:spacing w:after="0" w:before="0" w:line="480" w:lineRule="auto"/>
              <w:rPr>
                <w:sz w:val="18"/>
                <w:szCs w:val="18"/>
              </w:rPr>
            </w:pPr>
            <w:r w:rsidDel="00000000" w:rsidR="00000000" w:rsidRPr="00000000">
              <w:rPr>
                <w:i w:val="0"/>
                <w:iCs w:val="0"/>
                <w:sz w:val="18"/>
                <w:szCs w:val="18"/>
                <w:rtl w:val="0"/>
              </w:rPr>
              <w:t xml:space="preserve">275</w:t>
            </w:r>
            <w:r w:rsidDel="00000000" w:rsidR="00000000" w:rsidRPr="00000000">
              <w:rPr>
                <w:rtl w:val="0"/>
              </w:rPr>
            </w:r>
          </w:p>
        </w:tc>
        <w:tc>
          <w:tcPr/>
          <w:p w:rsidR="00000000" w:rsidDel="00000000" w:rsidP="00000000" w:rsidRDefault="00000000" w:rsidRPr="00000000" w14:paraId="00000084">
            <w:pPr>
              <w:spacing w:after="0" w:before="0" w:line="480" w:lineRule="auto"/>
              <w:rPr>
                <w:sz w:val="18"/>
                <w:szCs w:val="18"/>
              </w:rPr>
            </w:pPr>
            <w:r w:rsidDel="00000000" w:rsidR="00000000" w:rsidRPr="00000000">
              <w:rPr>
                <w:i w:val="0"/>
                <w:iCs w:val="0"/>
                <w:sz w:val="18"/>
                <w:szCs w:val="18"/>
                <w:rtl w:val="0"/>
              </w:rPr>
              <w:t xml:space="preserve">206</w:t>
            </w:r>
            <w:r w:rsidDel="00000000" w:rsidR="00000000" w:rsidRPr="00000000">
              <w:rPr>
                <w:rtl w:val="0"/>
              </w:rPr>
            </w:r>
          </w:p>
        </w:tc>
        <w:tc>
          <w:tcPr/>
          <w:p w:rsidR="00000000" w:rsidDel="00000000" w:rsidP="00000000" w:rsidRDefault="00000000" w:rsidRPr="00000000" w14:paraId="00000085">
            <w:pPr>
              <w:spacing w:after="0" w:before="0" w:line="480" w:lineRule="auto"/>
              <w:rPr>
                <w:sz w:val="18"/>
                <w:szCs w:val="18"/>
              </w:rPr>
            </w:pPr>
            <w:r w:rsidDel="00000000" w:rsidR="00000000" w:rsidRPr="00000000">
              <w:rPr>
                <w:i w:val="0"/>
                <w:iCs w:val="0"/>
                <w:sz w:val="18"/>
                <w:szCs w:val="18"/>
                <w:rtl w:val="0"/>
              </w:rPr>
              <w:t xml:space="preserve">131</w:t>
            </w:r>
            <w:r w:rsidDel="00000000" w:rsidR="00000000" w:rsidRPr="00000000">
              <w:rPr>
                <w:rtl w:val="0"/>
              </w:rPr>
            </w:r>
          </w:p>
        </w:tc>
        <w:tc>
          <w:tcPr/>
          <w:p w:rsidR="00000000" w:rsidDel="00000000" w:rsidP="00000000" w:rsidRDefault="00000000" w:rsidRPr="00000000" w14:paraId="00000086">
            <w:pPr>
              <w:spacing w:after="0" w:before="0" w:line="480" w:lineRule="auto"/>
              <w:rPr>
                <w:sz w:val="18"/>
                <w:szCs w:val="18"/>
              </w:rPr>
            </w:pPr>
            <w:r w:rsidDel="00000000" w:rsidR="00000000" w:rsidRPr="00000000">
              <w:rPr>
                <w:i w:val="0"/>
                <w:iCs w:val="0"/>
                <w:sz w:val="18"/>
                <w:szCs w:val="18"/>
                <w:rtl w:val="0"/>
              </w:rPr>
              <w:t xml:space="preserve">216</w:t>
            </w:r>
            <w:r w:rsidDel="00000000" w:rsidR="00000000" w:rsidRPr="00000000">
              <w:rPr>
                <w:rtl w:val="0"/>
              </w:rPr>
            </w:r>
          </w:p>
        </w:tc>
        <w:tc>
          <w:tcPr/>
          <w:p w:rsidR="00000000" w:rsidDel="00000000" w:rsidP="00000000" w:rsidRDefault="00000000" w:rsidRPr="00000000" w14:paraId="00000087">
            <w:pPr>
              <w:spacing w:after="0" w:before="0" w:line="480" w:lineRule="auto"/>
              <w:rPr>
                <w:sz w:val="18"/>
                <w:szCs w:val="18"/>
              </w:rPr>
            </w:pPr>
            <w:r w:rsidDel="00000000" w:rsidR="00000000" w:rsidRPr="00000000">
              <w:rPr>
                <w:i w:val="0"/>
                <w:iCs w:val="0"/>
                <w:sz w:val="18"/>
                <w:szCs w:val="18"/>
                <w:rtl w:val="0"/>
              </w:rPr>
              <w:t xml:space="preserve">828</w:t>
            </w:r>
            <w:r w:rsidDel="00000000" w:rsidR="00000000" w:rsidRPr="00000000">
              <w:rPr>
                <w:rtl w:val="0"/>
              </w:rPr>
            </w:r>
          </w:p>
        </w:tc>
      </w:tr>
      <w:tr>
        <w:trPr>
          <w:cantSplit w:val="1"/>
          <w:tblHeader w:val="0"/>
        </w:trPr>
        <w:tc>
          <w:tcPr/>
          <w:p w:rsidR="00000000" w:rsidDel="00000000" w:rsidP="00000000" w:rsidRDefault="00000000" w:rsidRPr="00000000" w14:paraId="00000088">
            <w:pPr>
              <w:spacing w:after="0" w:before="0" w:line="480" w:lineRule="auto"/>
              <w:rPr>
                <w:sz w:val="18"/>
                <w:szCs w:val="18"/>
              </w:rPr>
            </w:pPr>
            <w:r w:rsidDel="00000000" w:rsidR="00000000" w:rsidRPr="00000000">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sidDel="00000000" w:rsidR="00000000" w:rsidRPr="00000000">
              <w:rPr>
                <w:i w:val="0"/>
                <w:iCs w:val="0"/>
                <w:sz w:val="18"/>
                <w:szCs w:val="18"/>
                <w:rtl w:val="0"/>
              </w:rPr>
              <w:t xml:space="preserve">145</w:t>
            </w:r>
            <w:r w:rsidDel="00000000" w:rsidR="00000000" w:rsidRPr="00000000">
              <w:rPr>
                <w:rtl w:val="0"/>
              </w:rPr>
            </w:r>
          </w:p>
        </w:tc>
        <w:tc>
          <w:tcPr/>
          <w:p w:rsidR="00000000" w:rsidDel="00000000" w:rsidP="00000000" w:rsidRDefault="00000000" w:rsidRPr="00000000" w14:paraId="0000008A">
            <w:pPr>
              <w:spacing w:after="0" w:before="0" w:line="480" w:lineRule="auto"/>
              <w:rPr>
                <w:sz w:val="18"/>
                <w:szCs w:val="18"/>
              </w:rPr>
            </w:pPr>
            <w:r w:rsidDel="00000000" w:rsidR="00000000" w:rsidRPr="00000000">
              <w:rPr>
                <w:i w:val="0"/>
                <w:iCs w:val="0"/>
                <w:sz w:val="18"/>
                <w:szCs w:val="18"/>
                <w:rtl w:val="0"/>
              </w:rPr>
              <w:t xml:space="preserve">104</w:t>
            </w:r>
            <w:r w:rsidDel="00000000" w:rsidR="00000000" w:rsidRPr="00000000">
              <w:rPr>
                <w:rtl w:val="0"/>
              </w:rPr>
            </w:r>
          </w:p>
        </w:tc>
        <w:tc>
          <w:tcPr/>
          <w:p w:rsidR="00000000" w:rsidDel="00000000" w:rsidP="00000000" w:rsidRDefault="00000000" w:rsidRPr="00000000" w14:paraId="0000008B">
            <w:pPr>
              <w:spacing w:after="0" w:before="0" w:line="480" w:lineRule="auto"/>
              <w:rPr>
                <w:sz w:val="18"/>
                <w:szCs w:val="18"/>
              </w:rPr>
            </w:pPr>
            <w:r w:rsidDel="00000000" w:rsidR="00000000" w:rsidRPr="00000000">
              <w:rPr>
                <w:i w:val="0"/>
                <w:iCs w:val="0"/>
                <w:sz w:val="18"/>
                <w:szCs w:val="18"/>
                <w:rtl w:val="0"/>
              </w:rPr>
              <w:t xml:space="preserve">38</w:t>
            </w:r>
            <w:r w:rsidDel="00000000" w:rsidR="00000000" w:rsidRPr="00000000">
              <w:rPr>
                <w:rtl w:val="0"/>
              </w:rPr>
            </w:r>
          </w:p>
        </w:tc>
        <w:tc>
          <w:tcPr/>
          <w:p w:rsidR="00000000" w:rsidDel="00000000" w:rsidP="00000000" w:rsidRDefault="00000000" w:rsidRPr="00000000" w14:paraId="0000008C">
            <w:pPr>
              <w:spacing w:after="0" w:before="0" w:line="480" w:lineRule="auto"/>
              <w:rPr>
                <w:sz w:val="18"/>
                <w:szCs w:val="18"/>
              </w:rPr>
            </w:pPr>
            <w:r w:rsidDel="00000000" w:rsidR="00000000" w:rsidRPr="00000000">
              <w:rPr>
                <w:i w:val="0"/>
                <w:iCs w:val="0"/>
                <w:sz w:val="18"/>
                <w:szCs w:val="18"/>
                <w:rtl w:val="0"/>
              </w:rPr>
              <w:t xml:space="preserve">94</w:t>
            </w:r>
            <w:r w:rsidDel="00000000" w:rsidR="00000000" w:rsidRPr="00000000">
              <w:rPr>
                <w:rtl w:val="0"/>
              </w:rPr>
            </w:r>
          </w:p>
        </w:tc>
        <w:tc>
          <w:tcPr/>
          <w:p w:rsidR="00000000" w:rsidDel="00000000" w:rsidP="00000000" w:rsidRDefault="00000000" w:rsidRPr="00000000" w14:paraId="0000008D">
            <w:pPr>
              <w:spacing w:after="0" w:before="0" w:line="480" w:lineRule="auto"/>
              <w:rPr>
                <w:sz w:val="18"/>
                <w:szCs w:val="18"/>
              </w:rPr>
            </w:pPr>
            <w:r w:rsidDel="00000000" w:rsidR="00000000" w:rsidRPr="00000000">
              <w:rPr>
                <w:i w:val="0"/>
                <w:iCs w:val="0"/>
                <w:sz w:val="18"/>
                <w:szCs w:val="18"/>
                <w:rtl w:val="0"/>
              </w:rPr>
              <w:t xml:space="preserve">381</w:t>
            </w:r>
            <w:r w:rsidDel="00000000" w:rsidR="00000000" w:rsidRPr="00000000">
              <w:rPr>
                <w:rtl w:val="0"/>
              </w:rPr>
            </w:r>
          </w:p>
        </w:tc>
      </w:tr>
      <w:tr>
        <w:trPr>
          <w:cantSplit w:val="1"/>
          <w:tblHeader w:val="0"/>
        </w:trPr>
        <w:tc>
          <w:tcPr/>
          <w:p w:rsidR="00000000" w:rsidDel="00000000" w:rsidP="00000000" w:rsidRDefault="00000000" w:rsidRPr="00000000" w14:paraId="0000008E">
            <w:pPr>
              <w:spacing w:after="0" w:before="0" w:line="480" w:lineRule="auto"/>
              <w:rPr>
                <w:sz w:val="18"/>
                <w:szCs w:val="18"/>
              </w:rPr>
            </w:pPr>
            <w:r w:rsidDel="00000000" w:rsidR="00000000" w:rsidRPr="00000000">
              <w:rPr>
                <w:i w:val="0"/>
                <w:iCs w:val="0"/>
                <w:sz w:val="18"/>
                <w:szCs w:val="18"/>
                <w:rtl w:val="0"/>
              </w:rPr>
              <w:t xml:space="preserve">Pre-2023 (excluded pool)</w:t>
            </w:r>
            <w:r w:rsidDel="00000000" w:rsidR="00000000" w:rsidRPr="00000000">
              <w:rPr>
                <w:rtl w:val="0"/>
              </w:rPr>
            </w:r>
          </w:p>
        </w:tc>
        <w:tc>
          <w:tcPr/>
          <w:p w:rsidR="00000000" w:rsidDel="00000000" w:rsidP="00000000" w:rsidRDefault="00000000" w:rsidRPr="00000000" w14:paraId="0000008F">
            <w:pPr>
              <w:spacing w:after="0" w:before="0" w:line="480" w:lineRule="auto"/>
              <w:rPr>
                <w:sz w:val="18"/>
                <w:szCs w:val="18"/>
              </w:rPr>
            </w:pPr>
            <w:r w:rsidDel="00000000" w:rsidR="00000000" w:rsidRPr="00000000">
              <w:rPr>
                <w:i w:val="0"/>
                <w:iCs w:val="0"/>
                <w:sz w:val="18"/>
                <w:szCs w:val="18"/>
                <w:rtl w:val="0"/>
              </w:rPr>
              <w:t xml:space="preserve">130</w:t>
            </w:r>
            <w:r w:rsidDel="00000000" w:rsidR="00000000" w:rsidRPr="00000000">
              <w:rPr>
                <w:rtl w:val="0"/>
              </w:rPr>
            </w:r>
          </w:p>
        </w:tc>
        <w:tc>
          <w:tcPr/>
          <w:p w:rsidR="00000000" w:rsidDel="00000000" w:rsidP="00000000" w:rsidRDefault="00000000" w:rsidRPr="00000000" w14:paraId="00000090">
            <w:pPr>
              <w:spacing w:after="0" w:before="0" w:line="480" w:lineRule="auto"/>
              <w:rPr>
                <w:sz w:val="18"/>
                <w:szCs w:val="18"/>
              </w:rPr>
            </w:pPr>
            <w:r w:rsidDel="00000000" w:rsidR="00000000" w:rsidRPr="00000000">
              <w:rPr>
                <w:i w:val="0"/>
                <w:iCs w:val="0"/>
                <w:sz w:val="18"/>
                <w:szCs w:val="18"/>
                <w:rtl w:val="0"/>
              </w:rPr>
              <w:t xml:space="preserve">102</w:t>
            </w:r>
            <w:r w:rsidDel="00000000" w:rsidR="00000000" w:rsidRPr="00000000">
              <w:rPr>
                <w:rtl w:val="0"/>
              </w:rPr>
            </w:r>
          </w:p>
        </w:tc>
        <w:tc>
          <w:tcPr/>
          <w:p w:rsidR="00000000" w:rsidDel="00000000" w:rsidP="00000000" w:rsidRDefault="00000000" w:rsidRPr="00000000" w14:paraId="00000091">
            <w:pPr>
              <w:spacing w:after="0" w:before="0" w:line="480" w:lineRule="auto"/>
              <w:rPr>
                <w:sz w:val="18"/>
                <w:szCs w:val="18"/>
              </w:rPr>
            </w:pPr>
            <w:r w:rsidDel="00000000" w:rsidR="00000000" w:rsidRPr="00000000">
              <w:rPr>
                <w:i w:val="0"/>
                <w:iCs w:val="0"/>
                <w:sz w:val="18"/>
                <w:szCs w:val="18"/>
                <w:rtl w:val="0"/>
              </w:rPr>
              <w:t xml:space="preserve">93</w:t>
            </w:r>
            <w:r w:rsidDel="00000000" w:rsidR="00000000" w:rsidRPr="00000000">
              <w:rPr>
                <w:rtl w:val="0"/>
              </w:rPr>
            </w:r>
          </w:p>
        </w:tc>
        <w:tc>
          <w:tcPr/>
          <w:p w:rsidR="00000000" w:rsidDel="00000000" w:rsidP="00000000" w:rsidRDefault="00000000" w:rsidRPr="00000000" w14:paraId="00000092">
            <w:pPr>
              <w:spacing w:after="0" w:before="0" w:line="480" w:lineRule="auto"/>
              <w:rPr>
                <w:sz w:val="18"/>
                <w:szCs w:val="18"/>
              </w:rPr>
            </w:pPr>
            <w:r w:rsidDel="00000000" w:rsidR="00000000" w:rsidRPr="00000000">
              <w:rPr>
                <w:i w:val="0"/>
                <w:iCs w:val="0"/>
                <w:sz w:val="18"/>
                <w:szCs w:val="18"/>
                <w:rtl w:val="0"/>
              </w:rPr>
              <w:t xml:space="preserve">122</w:t>
            </w:r>
            <w:r w:rsidDel="00000000" w:rsidR="00000000" w:rsidRPr="00000000">
              <w:rPr>
                <w:rtl w:val="0"/>
              </w:rPr>
            </w:r>
          </w:p>
        </w:tc>
        <w:tc>
          <w:tcPr/>
          <w:p w:rsidR="00000000" w:rsidDel="00000000" w:rsidP="00000000" w:rsidRDefault="00000000" w:rsidRPr="00000000" w14:paraId="00000093">
            <w:pPr>
              <w:spacing w:after="0" w:before="0" w:line="480" w:lineRule="auto"/>
              <w:rPr>
                <w:sz w:val="18"/>
                <w:szCs w:val="18"/>
              </w:rPr>
            </w:pPr>
            <w:r w:rsidDel="00000000" w:rsidR="00000000" w:rsidRPr="00000000">
              <w:rPr>
                <w:i w:val="0"/>
                <w:iCs w:val="0"/>
                <w:sz w:val="18"/>
                <w:szCs w:val="18"/>
                <w:rtl w:val="0"/>
              </w:rPr>
              <w:t xml:space="preserve">447</w:t>
            </w:r>
            <w:r w:rsidDel="00000000" w:rsidR="00000000" w:rsidRPr="00000000">
              <w:rPr>
                <w:rtl w:val="0"/>
              </w:rPr>
            </w:r>
          </w:p>
        </w:tc>
      </w:tr>
      <w:tr>
        <w:trPr>
          <w:cantSplit w:val="1"/>
          <w:tblHeader w:val="0"/>
        </w:trPr>
        <w:tc>
          <w:tcPr/>
          <w:p w:rsidR="00000000" w:rsidDel="00000000" w:rsidP="00000000" w:rsidRDefault="00000000" w:rsidRPr="00000000" w14:paraId="00000094">
            <w:pPr>
              <w:spacing w:after="0" w:before="0" w:line="480" w:lineRule="auto"/>
              <w:rPr>
                <w:sz w:val="18"/>
                <w:szCs w:val="18"/>
              </w:rPr>
            </w:pPr>
            <w:r w:rsidDel="00000000" w:rsidR="00000000" w:rsidRPr="00000000">
              <w:rPr>
                <w:i w:val="0"/>
                <w:iCs w:val="0"/>
                <w:sz w:val="18"/>
                <w:szCs w:val="18"/>
                <w:rtl w:val="0"/>
              </w:rPr>
              <w:t xml:space="preserve">Pilot sample (pre-2023)</w:t>
            </w:r>
            <w:r w:rsidDel="00000000" w:rsidR="00000000" w:rsidRPr="00000000">
              <w:rPr>
                <w:rtl w:val="0"/>
              </w:rPr>
            </w:r>
          </w:p>
        </w:tc>
        <w:tc>
          <w:tcPr/>
          <w:p w:rsidR="00000000" w:rsidDel="00000000" w:rsidP="00000000" w:rsidRDefault="00000000" w:rsidRPr="00000000" w14:paraId="00000095">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6">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7">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8">
            <w:pPr>
              <w:spacing w:after="0" w:before="0" w:line="480" w:lineRule="auto"/>
              <w:rPr>
                <w:sz w:val="18"/>
                <w:szCs w:val="18"/>
              </w:rPr>
            </w:pPr>
            <w:r w:rsidDel="00000000" w:rsidR="00000000" w:rsidRPr="00000000">
              <w:rPr>
                <w:i w:val="0"/>
                <w:iCs w:val="0"/>
                <w:sz w:val="18"/>
                <w:szCs w:val="18"/>
                <w:rtl w:val="0"/>
              </w:rPr>
              <w:t xml:space="preserve">1</w:t>
            </w:r>
            <w:r w:rsidDel="00000000" w:rsidR="00000000" w:rsidRPr="00000000">
              <w:rPr>
                <w:rtl w:val="0"/>
              </w:rPr>
            </w:r>
          </w:p>
        </w:tc>
        <w:tc>
          <w:tcPr/>
          <w:p w:rsidR="00000000" w:rsidDel="00000000" w:rsidP="00000000" w:rsidRDefault="00000000" w:rsidRPr="00000000" w14:paraId="00000099">
            <w:pPr>
              <w:spacing w:after="0" w:before="0" w:line="480" w:lineRule="auto"/>
              <w:rPr>
                <w:sz w:val="18"/>
                <w:szCs w:val="18"/>
              </w:rPr>
            </w:pPr>
            <w:r w:rsidDel="00000000" w:rsidR="00000000" w:rsidRPr="00000000">
              <w:rPr>
                <w:i w:val="0"/>
                <w:iCs w:val="0"/>
                <w:sz w:val="18"/>
                <w:szCs w:val="18"/>
                <w:rtl w:val="0"/>
              </w:rPr>
              <w:t xml:space="preserve">4</w:t>
            </w:r>
            <w:r w:rsidDel="00000000" w:rsidR="00000000" w:rsidRPr="00000000">
              <w:rPr>
                <w:rtl w:val="0"/>
              </w:rPr>
            </w:r>
          </w:p>
        </w:tc>
      </w:tr>
      <w:tr>
        <w:trPr>
          <w:cantSplit w:val="1"/>
          <w:tblHeader w:val="0"/>
        </w:trPr>
        <w:tc>
          <w:tcPr>
            <w:tcBorders>
              <w:bottom w:color="000000" w:space="0" w:sz="18" w:val="single"/>
            </w:tcBorders>
          </w:tcPr>
          <w:p w:rsidR="00000000" w:rsidDel="00000000" w:rsidP="00000000" w:rsidRDefault="00000000" w:rsidRPr="00000000" w14:paraId="0000009A">
            <w:pPr>
              <w:spacing w:after="0" w:before="0" w:line="480" w:lineRule="auto"/>
              <w:rPr>
                <w:sz w:val="18"/>
                <w:szCs w:val="18"/>
              </w:rPr>
            </w:pPr>
            <w:r w:rsidDel="00000000" w:rsidR="00000000" w:rsidRPr="00000000">
              <w:rPr>
                <w:i w:val="0"/>
                <w:iCs w:val="0"/>
                <w:sz w:val="18"/>
                <w:szCs w:val="18"/>
                <w:rtl w:val="0"/>
              </w:rPr>
              <w:t xml:space="preserve">Main sample</w:t>
            </w:r>
            <w:r w:rsidDel="00000000" w:rsidR="00000000" w:rsidRPr="00000000">
              <w:rPr>
                <w:rtl w:val="0"/>
              </w:rPr>
            </w:r>
          </w:p>
        </w:tc>
        <w:tc>
          <w:tcPr>
            <w:tcBorders>
              <w:bottom w:color="000000" w:space="0" w:sz="18" w:val="single"/>
            </w:tcBorders>
          </w:tcPr>
          <w:p w:rsidR="00000000" w:rsidDel="00000000" w:rsidP="00000000" w:rsidRDefault="00000000" w:rsidRPr="00000000" w14:paraId="0000009B">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C">
            <w:pPr>
              <w:spacing w:after="0" w:before="0" w:line="480" w:lineRule="auto"/>
              <w:rPr>
                <w:sz w:val="18"/>
                <w:szCs w:val="18"/>
              </w:rPr>
            </w:pPr>
            <w:r w:rsidDel="00000000" w:rsidR="00000000" w:rsidRPr="00000000">
              <w:rPr>
                <w:i w:val="0"/>
                <w:iCs w:val="0"/>
                <w:sz w:val="18"/>
                <w:szCs w:val="18"/>
                <w:rtl w:val="0"/>
              </w:rPr>
              <w:t xml:space="preserve">20</w:t>
            </w:r>
            <w:r w:rsidDel="00000000" w:rsidR="00000000" w:rsidRPr="00000000">
              <w:rPr>
                <w:rtl w:val="0"/>
              </w:rPr>
            </w:r>
          </w:p>
        </w:tc>
        <w:tc>
          <w:tcPr>
            <w:tcBorders>
              <w:bottom w:color="000000" w:space="0" w:sz="18" w:val="single"/>
            </w:tcBorders>
          </w:tcPr>
          <w:p w:rsidR="00000000" w:rsidDel="00000000" w:rsidP="00000000" w:rsidRDefault="00000000" w:rsidRPr="00000000" w14:paraId="0000009D">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E">
            <w:pPr>
              <w:spacing w:after="0" w:before="0" w:line="480" w:lineRule="auto"/>
              <w:rPr>
                <w:sz w:val="18"/>
                <w:szCs w:val="18"/>
              </w:rPr>
            </w:pPr>
            <w:r w:rsidDel="00000000" w:rsidR="00000000" w:rsidRPr="00000000">
              <w:rPr>
                <w:i w:val="0"/>
                <w:iCs w:val="0"/>
                <w:sz w:val="18"/>
                <w:szCs w:val="18"/>
                <w:rtl w:val="0"/>
              </w:rPr>
              <w:t xml:space="preserve">10</w:t>
            </w:r>
            <w:r w:rsidDel="00000000" w:rsidR="00000000" w:rsidRPr="00000000">
              <w:rPr>
                <w:rtl w:val="0"/>
              </w:rPr>
            </w:r>
          </w:p>
        </w:tc>
        <w:tc>
          <w:tcPr>
            <w:tcBorders>
              <w:bottom w:color="000000" w:space="0" w:sz="18" w:val="single"/>
            </w:tcBorders>
          </w:tcPr>
          <w:p w:rsidR="00000000" w:rsidDel="00000000" w:rsidP="00000000" w:rsidRDefault="00000000" w:rsidRPr="00000000" w14:paraId="0000009F">
            <w:pPr>
              <w:spacing w:after="0" w:before="0" w:line="480" w:lineRule="auto"/>
              <w:rPr>
                <w:sz w:val="18"/>
                <w:szCs w:val="18"/>
              </w:rPr>
            </w:pPr>
            <w:r w:rsidDel="00000000" w:rsidR="00000000" w:rsidRPr="00000000">
              <w:rPr>
                <w:i w:val="0"/>
                <w:iCs w:val="0"/>
                <w:sz w:val="18"/>
                <w:szCs w:val="18"/>
                <w:rtl w:val="0"/>
              </w:rPr>
              <w:t xml:space="preserve">60</w:t>
            </w:r>
            <w:r w:rsidDel="00000000" w:rsidR="00000000" w:rsidRPr="00000000">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sidDel="00000000" w:rsidR="00000000" w:rsidRPr="00000000">
        <w:rPr>
          <w:b w:val="1"/>
          <w:bCs w:val="1"/>
          <w:rtl w:val="0"/>
        </w:rPr>
        <w:t xml:space="preserve">Part I: The Formal Repertoire of Student Hedging</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cs="Georgia"/>
          <w:b w:val="0"/>
          <w:sz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sidDel="00000000" w:rsidR="00000000" w:rsidRPr="00000000">
        <w:rPr>
          <w:rFonts w:ascii="Georgia" w:hAnsi="Georgia" w:cs="Georgia" w:eastAsia="Georgia"/>
          <w:b w:val="0"/>
          <w:sz w:val="24"/>
          <w:rtl w:val="0"/>
        </w:rPr>
        <w:t>Hedge Types by Count and Discipline</w:t>
      </w:r>
    </w:p>
    <w:p w:rsidR="00000000" w:rsidDel="00000000" w:rsidP="00000000" w:rsidRDefault="00000000" w:rsidRPr="00000000" w14:paraId="000000BD">
      <w:pPr>
        <w:spacing w:after="0" w:before="240" w:line="480" w:lineRule="auto"/>
        <w:ind w:firstLine="720"/>
        <w:jc w:val="both"/>
        <w:rPr/>
      </w:pPr>
      <w:r>
        <w:rPr>
          <w:rFonts w:ascii="Times New Roman" w:hAnsi="Times New Roman" w:eastAsia="Times New Roman" w:cs="Times New Roman"/>
          <w:b w:val="0"/>
          <w:sz w:val="22"/>
        </w:rPr>
        <w:t>Table 3 reports each hedge type with the forms attested under that type and the counts by discipline (Biology, Veterinary Medicine, Agriculture). Lexical hedges dominate overall (42 tokens), followed by modal verbs (20) and adverbial hedges (3); no clause-level hedges appear. Agriculture is nearly balanced (13 modal vs. 14 lexical). Biology is heavily lexical (20 of 28). Veterinary Medicine’s small total (10) is also mostly lexical (8), with only 2 modal verbs. Among lexical forms, potential is the single most frequent token (19 instances).</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3</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5</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6</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Total</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28</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10</w:t>
            </w:r>
          </w:p>
        </w:tc>
        <w:tc>
          <w:tcPr>
            <w:tcW w:type="dxa" w:w="1661"/>
            <w:tcBorders>
              <w:top w:val="single" w:sz="4" w:color="000000" w:space="0"/>
              <w:left w:val="nil"/>
              <w:bottom w:val="nil"/>
              <w:right w:val="nil"/>
            </w:tcBorders>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129">
      <w:pPr>
        <w:spacing w:after="0" w:before="0" w:line="480" w:lineRule="auto"/>
        <w:ind w:firstLine="720"/>
        <w:jc w:val="both"/>
        <w:rPr/>
      </w:pPr>
      <w:r w:rsidDel="00000000" w:rsidR="00000000" w:rsidRPr="00000000">
        <w:rPr>
          <w:rtl w:val="0"/>
        </w:rPr>
        <w:t xml:space="preserve">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rsidR="00000000" w:rsidDel="00000000" w:rsidP="00000000" w:rsidRDefault="00000000" w:rsidRPr="00000000" w14:paraId="0000012A">
      <w:pPr>
        <w:spacing w:after="0" w:before="0" w:line="480" w:lineRule="auto"/>
        <w:ind w:firstLine="720"/>
        <w:jc w:val="both"/>
        <w:rPr/>
      </w:pPr>
      <w:r>
        <w:rPr>
          <w:rFonts w:ascii="Georgia" w:hAnsi="Georgia" w:eastAsia="Georgia" w:cs="Georgia"/>
          <w:b w:val="0"/>
          <w:sz w:val="22"/>
        </w:rPr>
        <w:t>Alongside the 65 retained epistemic caution hedges (and no politeness/deference tokens), the corpus yielded 65 false positive tokens, hedge-like words that failed the claim condition or both removal checks at Step 2. Those retained-hedge and false-positive totals are set out together in Part III. The false positive total reflects topic-naming potential, recommendations, capability readings, procedural norms, and similar non-claim frames rather than a pre-filter applied before Step 2.</w:t>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Times New Roman" w:hAnsi="Times New Roman" w:cs="Times New Roman" w:eastAsia="Times New Roman"/>
          <w:b w:val="0"/>
          <w:sz w:val="22"/>
          <w:rtl w:val="0"/>
        </w:rPr>
        <w:t>Additionally, 14 unhedged claims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warranted, not how many assertion slots exist in the corpus.</w:t>
      </w:r>
    </w:p>
    <w:p w:rsidR="00000000" w:rsidDel="00000000" w:rsidP="00000000" w:rsidRDefault="00000000" w:rsidRPr="00000000" w14:paraId="0000012C">
      <w:pPr>
        <w:spacing w:after="0" w:before="0" w:line="480" w:lineRule="auto"/>
        <w:ind w:firstLine="720"/>
        <w:jc w:val="both"/>
        <w:rPr/>
      </w:pPr>
      <w:r w:rsidDel="00000000" w:rsidR="00000000" w:rsidRPr="00000000">
        <w:rPr>
          <w:rtl w:val="0"/>
        </w:rPr>
        <w:t xml:space="preserve">A limited count of assertive reporting forms in the 25 zero-hedge abstracts found recurring items such as </w:t>
      </w:r>
      <w:r w:rsidDel="00000000" w:rsidR="00000000" w:rsidRPr="00000000">
        <w:rPr>
          <w:i w:val="1"/>
          <w:iCs w:val="1"/>
          <w:rtl w:val="0"/>
        </w:rPr>
        <w:t xml:space="preserve">showed, revealed, observed</w:t>
      </w:r>
      <w:r w:rsidDel="00000000" w:rsidR="00000000" w:rsidRPr="00000000">
        <w:rPr>
          <w:rtl w:val="0"/>
        </w:rPr>
        <w:t xml:space="preserve">, and </w:t>
      </w:r>
      <w:r w:rsidDel="00000000" w:rsidR="00000000" w:rsidRPr="00000000">
        <w:rPr>
          <w:i w:val="1"/>
          <w:iCs w:val="1"/>
          <w:rtl w:val="0"/>
        </w:rPr>
        <w:t xml:space="preserve">highest</w:t>
      </w:r>
      <w:r w:rsidDel="00000000" w:rsidR="00000000" w:rsidRPr="00000000">
        <w:rPr>
          <w:rtl w:val="0"/>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rsidR="00000000" w:rsidDel="00000000" w:rsidP="00000000" w:rsidRDefault="00000000" w:rsidRPr="00000000" w14:paraId="0000012D">
      <w:pPr>
        <w:keepNext w:val="1"/>
        <w:spacing w:after="120" w:before="240" w:line="480" w:lineRule="auto"/>
        <w:ind w:firstLine="0"/>
        <w:rPr>
          <w:sz w:val="24"/>
          <w:szCs w:val="24"/>
        </w:rPr>
      </w:pPr>
      <w:r w:rsidDel="00000000" w:rsidR="00000000" w:rsidRPr="00000000">
        <w:rPr>
          <w:b w:val="1"/>
          <w:bCs w:val="1"/>
          <w:sz w:val="24"/>
          <w:szCs w:val="24"/>
          <w:rtl w:val="0"/>
        </w:rPr>
        <w:t xml:space="preserve">Part II: How Much Caution the Abstracts Display</w:t>
      </w:r>
      <w:r w:rsidDel="00000000" w:rsidR="00000000" w:rsidRPr="00000000">
        <w:rPr>
          <w:rtl w:val="0"/>
        </w:rPr>
      </w:r>
    </w:p>
    <w:p w:rsidR="00000000" w:rsidDel="00000000" w:rsidP="00000000" w:rsidRDefault="00000000" w:rsidRPr="00000000" w14:paraId="0000012E">
      <w:pPr>
        <w:spacing w:after="0" w:before="0" w:line="480" w:lineRule="auto"/>
        <w:ind w:firstLine="720"/>
        <w:jc w:val="both"/>
        <w:rPr/>
      </w:pPr>
      <w:r>
        <w:rPr>
          <w:rFonts w:ascii="Times New Roman" w:hAnsi="Times New Roman" w:eastAsia="Times New Roman" w:cs="Times New Roman"/>
          <w:b w:val="0"/>
          <w:sz w:val="22"/>
        </w:rPr>
        <w:t>Cross-disciplinary comparison shows differences in hedge density, driven mainly by Veterinary Medicine’s lower rate. Table 4 presents the hedge counts, false positives, unhedged claims, and normalized frequency (hedges per 100 words) for each discipline.</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sidDel="00000000" w:rsidR="00000000" w:rsidRPr="00000000">
        <w:rPr>
          <w:rtl w:val="0"/>
        </w:rPr>
        <w:t xml:space="preserve">Hedge Frequency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c>
          <w:tcPr>
            <w:tcW w:type="dxa" w:w="1661"/>
            <w:tcBorders>
              <w:top w:val="nil"/>
              <w:bottom w:val="single" w:sz="4" w:color="000000" w:space="0"/>
              <w:left w:val="nil"/>
              <w:right w:val="nil"/>
            </w:tcBorders>
          </w:tcPr>
          <w:p>
            <w:pPr>
              <w:spacing w:before="0" w:after="0" w:line="240" w:lineRule="auto"/>
            </w:pPr>
            <w:r>
              <w:rPr>
                <w:rFonts w:ascii="Georgia" w:hAnsi="Georgia" w:cs="Georgia" w:eastAsia="Georgia"/>
                <w:b/>
                <w:sz w:val="18"/>
              </w:rPr>
            </w:r>
          </w:p>
        </w:tc>
        <w:tc>
          <w:tcPr>
            <w:tcW w:type="dxa" w:w="1661"/>
            <w:tcBorders>
              <w:top w:val="nil"/>
              <w:bottom w:val="single" w:sz="4" w:color="000000" w:space="0"/>
              <w:left w:val="nil"/>
              <w:right w:val="nil"/>
            </w:tcBorders>
          </w:tcPr>
          <w:p>
            <w:pPr>
              <w:spacing w:before="0" w:after="0" w:line="240" w:lineRule="auto"/>
            </w:pPr>
            <w:r>
              <w:rPr>
                <w:rFonts w:ascii="Georgia" w:hAnsi="Georgia" w:cs="Georgia" w:eastAsia="Georgia"/>
                <w:b/>
                <w:sz w:val="18"/>
              </w:rPr>
              <w:t>Agriculture</w:t>
            </w:r>
          </w:p>
        </w:tc>
        <w:tc>
          <w:tcPr>
            <w:tcW w:type="dxa" w:w="1661"/>
            <w:tcBorders>
              <w:top w:val="nil"/>
              <w:bottom w:val="single" w:sz="4" w:color="000000" w:space="0"/>
              <w:left w:val="nil"/>
              <w:right w:val="nil"/>
            </w:tcBorders>
          </w:tcPr>
          <w:p>
            <w:pPr>
              <w:spacing w:before="0" w:after="0" w:line="240" w:lineRule="auto"/>
            </w:pPr>
            <w:r>
              <w:rPr>
                <w:rFonts w:ascii="Georgia" w:hAnsi="Georgia" w:cs="Georgia" w:eastAsia="Georgia"/>
                <w:b/>
                <w:sz w:val="18"/>
              </w:rPr>
              <w:t>Biology</w:t>
            </w:r>
          </w:p>
        </w:tc>
        <w:tc>
          <w:tcPr>
            <w:tcW w:type="dxa" w:w="1661"/>
            <w:tcBorders>
              <w:top w:val="nil"/>
              <w:bottom w:val="single" w:sz="4" w:color="000000" w:space="0"/>
              <w:left w:val="nil"/>
              <w:right w:val="nil"/>
            </w:tcBorders>
          </w:tcPr>
          <w:p>
            <w:pPr>
              <w:spacing w:before="0" w:after="0" w:line="240" w:lineRule="auto"/>
            </w:pPr>
            <w:r>
              <w:rPr>
                <w:rFonts w:ascii="Georgia" w:hAnsi="Georgia" w:cs="Georgia" w:eastAsia="Georgia"/>
                <w:b/>
                <w:sz w:val="18"/>
              </w:rPr>
              <w:t>Veterinary Medicine</w:t>
            </w:r>
          </w:p>
        </w:tc>
        <w:tc>
          <w:tcPr>
            <w:tcW w:type="dxa" w:w="1661"/>
            <w:tcBorders>
              <w:top w:val="nil"/>
              <w:bottom w:val="single" w:sz="4" w:color="000000" w:space="0"/>
              <w:left w:val="nil"/>
              <w:right w:val="nil"/>
            </w:tcBorders>
          </w:tcPr>
          <w:p>
            <w:pPr>
              <w:spacing w:before="0" w:after="0" w:line="240" w:lineRule="auto"/>
            </w:pPr>
            <w:r>
              <w:rPr>
                <w:rFonts w:ascii="Georgia" w:hAnsi="Georgia" w:cs="Georgia" w:eastAsia="Georgia"/>
                <w:b/>
                <w:sz w:val="18"/>
              </w:rPr>
              <w:t>Total</w:t>
            </w:r>
          </w:p>
        </w:tc>
      </w:tr>
      <w:tr>
        <w:tc>
          <w:tcPr>
            <w:tcW w:type="dxa" w:w="1661"/>
          </w:tcPr>
          <w:p>
            <w:pPr>
              <w:spacing w:before="0" w:after="0" w:line="240" w:lineRule="auto"/>
            </w:pPr>
            <w:r>
              <w:rPr>
                <w:rFonts w:ascii="Georgia" w:hAnsi="Georgia" w:cs="Georgia" w:eastAsia="Georgia"/>
                <w:b/>
                <w:sz w:val="18"/>
              </w:rPr>
              <w:t>Total abstracts</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60</w:t>
            </w:r>
          </w:p>
        </w:tc>
      </w:tr>
      <w:tr>
        <w:tc>
          <w:tcPr>
            <w:tcW w:type="dxa" w:w="1661"/>
          </w:tcPr>
          <w:p>
            <w:pPr>
              <w:spacing w:before="0" w:after="0" w:line="240" w:lineRule="auto"/>
            </w:pPr>
            <w:r>
              <w:rPr>
                <w:rFonts w:ascii="Georgia" w:hAnsi="Georgia" w:cs="Georgia" w:eastAsia="Georgia"/>
                <w:b/>
                <w:sz w:val="18"/>
              </w:rPr>
              <w:t>Words</w:t>
            </w:r>
          </w:p>
        </w:tc>
        <w:tc>
          <w:tcPr>
            <w:tcW w:type="dxa" w:w="1661"/>
          </w:tcPr>
          <w:p>
            <w:pPr>
              <w:spacing w:before="0" w:after="0" w:line="240" w:lineRule="auto"/>
            </w:pPr>
            <w:r>
              <w:rPr>
                <w:rFonts w:ascii="Georgia" w:hAnsi="Georgia" w:cs="Georgia" w:eastAsia="Georgia"/>
                <w:b w:val="0"/>
                <w:sz w:val="18"/>
              </w:rPr>
              <w:t>4,300</w:t>
            </w:r>
          </w:p>
        </w:tc>
        <w:tc>
          <w:tcPr>
            <w:tcW w:type="dxa" w:w="1661"/>
          </w:tcPr>
          <w:p>
            <w:pPr>
              <w:spacing w:before="0" w:after="0" w:line="240" w:lineRule="auto"/>
            </w:pPr>
            <w:r>
              <w:rPr>
                <w:rFonts w:ascii="Georgia" w:hAnsi="Georgia" w:cs="Georgia" w:eastAsia="Georgia"/>
                <w:b w:val="0"/>
                <w:sz w:val="18"/>
              </w:rPr>
              <w:t>4,509</w:t>
            </w:r>
          </w:p>
        </w:tc>
        <w:tc>
          <w:tcPr>
            <w:tcW w:type="dxa" w:w="1661"/>
          </w:tcPr>
          <w:p>
            <w:pPr>
              <w:spacing w:before="0" w:after="0" w:line="240" w:lineRule="auto"/>
            </w:pPr>
            <w:r>
              <w:rPr>
                <w:rFonts w:ascii="Georgia" w:hAnsi="Georgia" w:cs="Georgia" w:eastAsia="Georgia"/>
                <w:b w:val="0"/>
                <w:sz w:val="18"/>
              </w:rPr>
              <w:t>5,060</w:t>
            </w:r>
          </w:p>
        </w:tc>
        <w:tc>
          <w:tcPr>
            <w:tcW w:type="dxa" w:w="1661"/>
          </w:tcPr>
          <w:p>
            <w:pPr>
              <w:spacing w:before="0" w:after="0" w:line="240" w:lineRule="auto"/>
            </w:pPr>
            <w:r>
              <w:rPr>
                <w:rFonts w:ascii="Georgia" w:hAnsi="Georgia" w:cs="Georgia" w:eastAsia="Georgia"/>
                <w:b w:val="0"/>
                <w:sz w:val="18"/>
              </w:rPr>
              <w:t>13,869</w:t>
            </w:r>
          </w:p>
        </w:tc>
      </w:tr>
      <w:tr>
        <w:tc>
          <w:tcPr>
            <w:tcW w:type="dxa" w:w="1661"/>
          </w:tcPr>
          <w:p>
            <w:pPr>
              <w:spacing w:before="0" w:after="0" w:line="240" w:lineRule="auto"/>
            </w:pPr>
            <w:r>
              <w:rPr>
                <w:rFonts w:ascii="Georgia" w:hAnsi="Georgia" w:cs="Georgia" w:eastAsia="Georgia"/>
                <w:b/>
                <w:sz w:val="18"/>
              </w:rPr>
              <w:t>Hedges</w:t>
            </w:r>
          </w:p>
        </w:tc>
        <w:tc>
          <w:tcPr>
            <w:tcW w:type="dxa" w:w="1661"/>
          </w:tcPr>
          <w:p>
            <w:pPr>
              <w:spacing w:before="0" w:after="0" w:line="240" w:lineRule="auto"/>
            </w:pPr>
            <w:r>
              <w:rPr>
                <w:rFonts w:ascii="Georgia" w:hAnsi="Georgia" w:cs="Georgia" w:eastAsia="Georgia"/>
                <w:b w:val="0"/>
                <w:sz w:val="18"/>
              </w:rPr>
              <w:t>27</w:t>
            </w:r>
          </w:p>
        </w:tc>
        <w:tc>
          <w:tcPr>
            <w:tcW w:type="dxa" w:w="1661"/>
          </w:tcPr>
          <w:p>
            <w:pPr>
              <w:spacing w:before="0" w:after="0" w:line="240" w:lineRule="auto"/>
            </w:pPr>
            <w:r>
              <w:rPr>
                <w:rFonts w:ascii="Georgia" w:hAnsi="Georgia" w:cs="Georgia" w:eastAsia="Georgia"/>
                <w:b w:val="0"/>
                <w:sz w:val="18"/>
              </w:rPr>
              <w:t>28</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65</w:t>
            </w:r>
          </w:p>
        </w:tc>
      </w:tr>
      <w:tr>
        <w:tc>
          <w:tcPr>
            <w:tcW w:type="dxa" w:w="1661"/>
          </w:tcPr>
          <w:p>
            <w:pPr>
              <w:spacing w:before="0" w:after="0" w:line="240" w:lineRule="auto"/>
            </w:pPr>
            <w:r>
              <w:rPr>
                <w:rFonts w:ascii="Georgia" w:hAnsi="Georgia" w:cs="Georgia" w:eastAsia="Georgia"/>
                <w:b/>
                <w:sz w:val="18"/>
              </w:rPr>
              <w:t>False positives</w:t>
            </w:r>
          </w:p>
        </w:tc>
        <w:tc>
          <w:tcPr>
            <w:tcW w:type="dxa" w:w="1661"/>
          </w:tcPr>
          <w:p>
            <w:pPr>
              <w:spacing w:before="0" w:after="0" w:line="240" w:lineRule="auto"/>
            </w:pPr>
            <w:r>
              <w:rPr>
                <w:rFonts w:ascii="Georgia" w:hAnsi="Georgia" w:cs="Georgia" w:eastAsia="Georgia"/>
                <w:b w:val="0"/>
                <w:sz w:val="18"/>
              </w:rPr>
              <w:t>17</w:t>
            </w:r>
          </w:p>
        </w:tc>
        <w:tc>
          <w:tcPr>
            <w:tcW w:type="dxa" w:w="1661"/>
          </w:tcPr>
          <w:p>
            <w:pPr>
              <w:spacing w:before="0" w:after="0" w:line="240" w:lineRule="auto"/>
            </w:pPr>
            <w:r>
              <w:rPr>
                <w:rFonts w:ascii="Georgia" w:hAnsi="Georgia" w:cs="Georgia" w:eastAsia="Georgia"/>
                <w:b w:val="0"/>
                <w:sz w:val="18"/>
              </w:rPr>
              <w:t>34</w:t>
            </w:r>
          </w:p>
        </w:tc>
        <w:tc>
          <w:tcPr>
            <w:tcW w:type="dxa" w:w="1661"/>
          </w:tcPr>
          <w:p>
            <w:pPr>
              <w:spacing w:before="0" w:after="0" w:line="240" w:lineRule="auto"/>
            </w:pPr>
            <w:r>
              <w:rPr>
                <w:rFonts w:ascii="Georgia" w:hAnsi="Georgia" w:cs="Georgia" w:eastAsia="Georgia"/>
                <w:b w:val="0"/>
                <w:sz w:val="18"/>
              </w:rPr>
              <w:t>14</w:t>
            </w:r>
          </w:p>
        </w:tc>
        <w:tc>
          <w:tcPr>
            <w:tcW w:type="dxa" w:w="1661"/>
          </w:tcPr>
          <w:p>
            <w:pPr>
              <w:spacing w:before="0" w:after="0" w:line="240" w:lineRule="auto"/>
            </w:pPr>
            <w:r>
              <w:rPr>
                <w:rFonts w:ascii="Georgia" w:hAnsi="Georgia" w:cs="Georgia" w:eastAsia="Georgia"/>
                <w:b w:val="0"/>
                <w:sz w:val="18"/>
              </w:rPr>
              <w:t>65</w:t>
            </w:r>
          </w:p>
        </w:tc>
      </w:tr>
      <w:tr>
        <w:tc>
          <w:tcPr>
            <w:tcW w:type="dxa" w:w="1661"/>
          </w:tcPr>
          <w:p>
            <w:pPr>
              <w:spacing w:before="0" w:after="0" w:line="240" w:lineRule="auto"/>
            </w:pPr>
            <w:r>
              <w:rPr>
                <w:rFonts w:ascii="Georgia" w:hAnsi="Georgia" w:cs="Georgia" w:eastAsia="Georgia"/>
                <w:b/>
                <w:sz w:val="18"/>
              </w:rPr>
              <w:t>Unhedged claims</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14</w:t>
            </w:r>
          </w:p>
        </w:tc>
      </w:tr>
      <w:tr>
        <w:tc>
          <w:tcPr>
            <w:tcW w:type="dxa" w:w="1661"/>
          </w:tcPr>
          <w:p>
            <w:pPr>
              <w:spacing w:before="0" w:after="0" w:line="240" w:lineRule="auto"/>
            </w:pPr>
            <w:r>
              <w:rPr>
                <w:rFonts w:ascii="Georgia" w:hAnsi="Georgia" w:cs="Georgia" w:eastAsia="Georgia"/>
                <w:b/>
                <w:sz w:val="18"/>
              </w:rPr>
              <w:t>Zero-hedge abstracts</w:t>
            </w:r>
          </w:p>
        </w:tc>
        <w:tc>
          <w:tcPr>
            <w:tcW w:type="dxa" w:w="1661"/>
          </w:tcPr>
          <w:p>
            <w:pPr>
              <w:spacing w:before="0" w:after="0" w:line="240" w:lineRule="auto"/>
            </w:pPr>
            <w:r>
              <w:rPr>
                <w:rFonts w:ascii="Georgia" w:hAnsi="Georgia" w:cs="Georgia" w:eastAsia="Georgia"/>
                <w:b w:val="0"/>
                <w:sz w:val="18"/>
              </w:rPr>
              <w:t>8</w:t>
            </w:r>
          </w:p>
        </w:tc>
        <w:tc>
          <w:tcPr>
            <w:tcW w:type="dxa" w:w="1661"/>
          </w:tcPr>
          <w:p>
            <w:pPr>
              <w:spacing w:before="0" w:after="0" w:line="240" w:lineRule="auto"/>
            </w:pPr>
            <w:r>
              <w:rPr>
                <w:rFonts w:ascii="Georgia" w:hAnsi="Georgia" w:cs="Georgia" w:eastAsia="Georgia"/>
                <w:b w:val="0"/>
                <w:sz w:val="18"/>
              </w:rPr>
              <w:t>5</w:t>
            </w:r>
          </w:p>
        </w:tc>
        <w:tc>
          <w:tcPr>
            <w:tcW w:type="dxa" w:w="1661"/>
          </w:tcPr>
          <w:p>
            <w:pPr>
              <w:spacing w:before="0" w:after="0" w:line="240" w:lineRule="auto"/>
            </w:pPr>
            <w:r>
              <w:rPr>
                <w:rFonts w:ascii="Georgia" w:hAnsi="Georgia" w:cs="Georgia" w:eastAsia="Georgia"/>
                <w:b w:val="0"/>
                <w:sz w:val="18"/>
              </w:rPr>
              <w:t>12</w:t>
            </w:r>
          </w:p>
        </w:tc>
        <w:tc>
          <w:tcPr>
            <w:tcW w:type="dxa" w:w="1661"/>
          </w:tcPr>
          <w:p>
            <w:pPr>
              <w:spacing w:before="0" w:after="0" w:line="240" w:lineRule="auto"/>
            </w:pPr>
            <w:r>
              <w:rPr>
                <w:rFonts w:ascii="Georgia" w:hAnsi="Georgia" w:cs="Georgia" w:eastAsia="Georgia"/>
                <w:b w:val="0"/>
                <w:sz w:val="18"/>
              </w:rPr>
              <w:t>25</w:t>
            </w:r>
          </w:p>
        </w:tc>
      </w:tr>
      <w:tr>
        <w:tc>
          <w:tcPr>
            <w:tcW w:type="dxa" w:w="1661"/>
          </w:tcPr>
          <w:p>
            <w:pPr>
              <w:spacing w:before="0" w:after="0" w:line="240" w:lineRule="auto"/>
            </w:pPr>
            <w:r>
              <w:rPr>
                <w:rFonts w:ascii="Georgia" w:hAnsi="Georgia" w:cs="Georgia" w:eastAsia="Georgia"/>
                <w:b/>
                <w:sz w:val="18"/>
              </w:rPr>
              <w:t>Hedges/100w</w:t>
            </w:r>
          </w:p>
        </w:tc>
        <w:tc>
          <w:tcPr>
            <w:tcW w:type="dxa" w:w="1661"/>
          </w:tcPr>
          <w:p>
            <w:pPr>
              <w:spacing w:before="0" w:after="0" w:line="240" w:lineRule="auto"/>
            </w:pPr>
            <w:r>
              <w:rPr>
                <w:rFonts w:ascii="Georgia" w:hAnsi="Georgia" w:cs="Georgia" w:eastAsia="Georgia"/>
                <w:b w:val="0"/>
                <w:sz w:val="18"/>
              </w:rPr>
              <w:t>0.63</w:t>
            </w:r>
          </w:p>
        </w:tc>
        <w:tc>
          <w:tcPr>
            <w:tcW w:type="dxa" w:w="1661"/>
          </w:tcPr>
          <w:p>
            <w:pPr>
              <w:spacing w:before="0" w:after="0" w:line="240" w:lineRule="auto"/>
            </w:pPr>
            <w:r>
              <w:rPr>
                <w:rFonts w:ascii="Georgia" w:hAnsi="Georgia" w:cs="Georgia" w:eastAsia="Georgia"/>
                <w:b w:val="0"/>
                <w:sz w:val="18"/>
              </w:rPr>
              <w:t>0.62</w:t>
            </w:r>
          </w:p>
        </w:tc>
        <w:tc>
          <w:tcPr>
            <w:tcW w:type="dxa" w:w="1661"/>
          </w:tcPr>
          <w:p>
            <w:pPr>
              <w:spacing w:before="0" w:after="0" w:line="240" w:lineRule="auto"/>
            </w:pPr>
            <w:r>
              <w:rPr>
                <w:rFonts w:ascii="Georgia" w:hAnsi="Georgia" w:cs="Georgia" w:eastAsia="Georgia"/>
                <w:b w:val="0"/>
                <w:sz w:val="18"/>
              </w:rPr>
              <w:t>0.20</w:t>
            </w:r>
          </w:p>
        </w:tc>
        <w:tc>
          <w:tcPr>
            <w:tcW w:type="dxa" w:w="1661"/>
          </w:tcPr>
          <w:p>
            <w:pPr>
              <w:spacing w:before="0" w:after="0" w:line="240" w:lineRule="auto"/>
            </w:pPr>
            <w:r>
              <w:rPr>
                <w:rFonts w:ascii="Georgia" w:hAnsi="Georgia" w:cs="Georgia" w:eastAsia="Georgia"/>
                <w:b w:val="0"/>
                <w:sz w:val="18"/>
              </w:rPr>
              <w:t>0.47</w:t>
            </w:r>
          </w:p>
        </w:tc>
      </w:tr>
    </w:tbl>
    <w:p w:rsidR="00000000" w:rsidDel="00000000" w:rsidP="00000000" w:rsidRDefault="00000000" w:rsidRPr="00000000" w14:paraId="0000015B">
      <w:pPr>
        <w:spacing w:after="0" w:before="240" w:line="480" w:lineRule="auto"/>
        <w:ind w:firstLine="720"/>
        <w:jc w:val="both"/>
        <w:rPr/>
      </w:pPr>
      <w:r>
        <w:rPr>
          <w:rFonts w:ascii="Times New Roman" w:hAnsi="Times New Roman" w:eastAsia="Times New Roman" w:cs="Times New Roman"/>
          <w:b w:val="0"/>
          <w:sz w:val="22"/>
        </w:rPr>
        <w:t>Table 4 shows that Biology had a hedge density of 0.62 per 100 words (28 hedges across 4,509 words), followed closely by Agriculture at 0.63 (27 hedges across 4,300 words), and Veterinary Medicine at 0.20 (10 hedges across 5,060 words). The overall corpus density was 0.47 hedges per 100 words. The Agriculture–Biology difference is negligible for practical purposes. Veterinary Medicine remains the low-density corner of the sample.</w:t>
      </w:r>
    </w:p>
    <w:p w:rsidR="00000000" w:rsidDel="00000000" w:rsidP="00000000" w:rsidRDefault="00000000" w:rsidRPr="00000000" w14:paraId="0000015C">
      <w:pPr>
        <w:spacing w:after="0" w:before="0" w:line="480" w:lineRule="auto"/>
        <w:ind w:firstLine="720"/>
        <w:jc w:val="both"/>
        <w:rPr/>
      </w:pPr>
      <w:r w:rsidDel="00000000" w:rsidR="00000000" w:rsidRPr="00000000">
        <w:rPr>
          <w:rtl w:val="0"/>
        </w:rPr>
        <w:t>The number of zero-hedge abstracts makes the same contrast clearer. Of the 60 abstracts, 25 contained zero hedge tokens. Veterinary Medicine accounted for 12 of these zero-hedge abstracts (12 of 20 VM abstracts), Biology for 5 (5 of 20), and Agriculture for 8 (8 of 20). The overrepresentation of Veterinary Medicine in the zero-hedge category is the primary driver of its low density.</w:t>
      </w:r>
    </w:p>
    <w:p w:rsidR="00000000" w:rsidDel="00000000" w:rsidP="00000000" w:rsidRDefault="00000000" w:rsidRPr="00000000" w14:paraId="0000015D">
      <w:pPr>
        <w:spacing w:after="0" w:before="0" w:line="480" w:lineRule="auto"/>
        <w:ind w:firstLine="720"/>
        <w:jc w:val="both"/>
        <w:rPr/>
      </w:pPr>
      <w:r w:rsidDel="00000000" w:rsidR="00000000" w:rsidRPr="00000000">
        <w:rPr>
          <w:rtl w:val="0"/>
        </w:rPr>
        <w:t>Per-abstract hedge distributions reveal substantial skew. Agriculture abstracts averaged 1.35 hedges (median = 1, SD = 1.87,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nearly tied with Biology's 0.62, so that any Agriculture &gt; Biology ranking is partly driven by a single outlier abstract. Abstracts within a program may share advisers, so observations are not fully independent, and within-discipline spread remains larger than the gaps between means. Removing all 19 instances of “potential” leaves 46 hedges, and Veterinary Medicine’s zero-hedge share rises further. Low density in undergraduate and L2 academic writing is widely reported and is often read as limited stance control rather than as deliberate categorical style (Hyland &amp; Milton, 1997; Qiu et al., 2024). In this PSAU sample, the descriptive contrast is sharpest between Biology and Veterinary Medicine. It is a local English-language pattern in ratified abstracts. Supervised abstracts may absorb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sidDel="00000000" w:rsidR="00000000" w:rsidRPr="00000000">
        <w:rPr>
          <w:rtl w:val="0"/>
        </w:rPr>
        <w:t xml:space="preserve">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rsidR="00000000" w:rsidDel="00000000" w:rsidP="00000000" w:rsidRDefault="00000000" w:rsidRPr="00000000" w14:paraId="0000015F">
      <w:pPr>
        <w:spacing w:after="0" w:before="0" w:line="480" w:lineRule="auto"/>
        <w:ind w:firstLine="720"/>
        <w:jc w:val="both"/>
        <w:rPr/>
      </w:pPr>
      <w:r w:rsidDel="00000000" w:rsidR="00000000" w:rsidRPr="00000000">
        <w:rPr>
          <w:rFonts w:ascii="Times New Roman" w:hAnsi="Times New Roman" w:cs="Times New Roman"/>
          <w:b w:val="0"/>
          <w:sz w:val="22"/>
          <w:rtl w:val="0"/>
        </w:rPr>
        <w:t>Veterinary Medicine's low density is more difficult to interpret. Many VM abstracts in this corpus reported clinical findings from animal studies (e.g., drug efficacy trials, disease detection, hematological profiling). Outcome-type coding later in this chapter tests the obvious explanation—that VM abstracts mostly report binary results—and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rsidR="00000000" w:rsidDel="00000000" w:rsidP="00000000" w:rsidRDefault="00000000" w:rsidRPr="00000000" w14:paraId="00000160">
      <w:pPr>
        <w:spacing w:after="0" w:before="0" w:line="480" w:lineRule="auto"/>
        <w:ind w:firstLine="720"/>
        <w:jc w:val="both"/>
        <w:rPr/>
      </w:pPr>
      <w:r w:rsidDel="00000000" w:rsidR="00000000" w:rsidRPr="00000000">
        <w:rPr>
          <w:rtl w:val="0"/>
        </w:rPr>
        <w:t xml:space="preserve">The false positive distribution also varies by discipline. Biology produced 34 false positives, far more than Agriculture (17) or Veterinary Medicine (14). This is partly because Biology abstracts contain more instances of “</w:t>
      </w:r>
      <w:r w:rsidDel="00000000" w:rsidR="00000000" w:rsidRPr="00000000">
        <w:rPr>
          <w:i w:val="1"/>
          <w:iCs w:val="1"/>
          <w:rtl w:val="0"/>
        </w:rPr>
        <w:t xml:space="preserve">potential</w:t>
      </w:r>
      <w:r w:rsidDel="00000000" w:rsidR="00000000" w:rsidRPr="00000000">
        <w:rPr>
          <w:rtl w:val="0"/>
        </w:rPr>
        <w:t xml:space="preserve">” in aim statements and “</w:t>
      </w:r>
      <w:r w:rsidDel="00000000" w:rsidR="00000000" w:rsidRPr="00000000">
        <w:rPr>
          <w:i w:val="1"/>
          <w:iCs w:val="1"/>
          <w:rtl w:val="0"/>
        </w:rPr>
        <w:t xml:space="preserve">indicated by</w:t>
      </w:r>
      <w:r w:rsidDel="00000000" w:rsidR="00000000" w:rsidRPr="00000000">
        <w:rPr>
          <w:rtl w:val="0"/>
        </w:rPr>
        <w:t xml:space="preserve">” evidential pointers, constructions that look like hedges but do not express uncertainty about a claim. The higher count reflects more hedge-like vocabulary in non-hedging functions, not more hedging.</w:t>
      </w:r>
    </w:p>
    <w:p w:rsidR="00000000" w:rsidDel="00000000" w:rsidP="00000000" w:rsidRDefault="00000000" w:rsidRPr="00000000" w14:paraId="00000161">
      <w:pPr>
        <w:keepNext w:val="1"/>
        <w:spacing w:after="120" w:before="240" w:line="480" w:lineRule="auto"/>
        <w:ind w:firstLine="0"/>
        <w:rPr>
          <w:sz w:val="24"/>
          <w:szCs w:val="24"/>
        </w:rPr>
      </w:pPr>
      <w:r w:rsidDel="00000000" w:rsidR="00000000" w:rsidRPr="00000000">
        <w:rPr>
          <w:b w:val="1"/>
          <w:bCs w:val="1"/>
          <w:sz w:val="24"/>
          <w:szCs w:val="24"/>
          <w:rtl w:val="0"/>
        </w:rPr>
        <w:t xml:space="preserve">Part III: What Hedging Does When It Appears</w:t>
      </w:r>
      <w:r w:rsidDel="00000000" w:rsidR="00000000" w:rsidRPr="00000000">
        <w:rPr>
          <w:rtl w:val="0"/>
        </w:rPr>
      </w:r>
    </w:p>
    <w:p w:rsidR="00000000" w:rsidDel="00000000" w:rsidP="00000000" w:rsidRDefault="00000000" w:rsidRPr="00000000" w14:paraId="00000162">
      <w:pPr>
        <w:spacing w:after="0" w:before="0" w:line="480" w:lineRule="auto"/>
        <w:ind w:firstLine="720"/>
        <w:jc w:val="both"/>
        <w:rPr/>
      </w:pPr>
      <w:r>
        <w:rPr>
          <w:rFonts w:ascii="Times New Roman" w:hAnsi="Times New Roman" w:eastAsia="Times New Roman" w:cs="Times New Roman"/>
          <w:b w:val="0"/>
          <w:sz w:val="22"/>
        </w:rPr>
        <w:t>Table 5 summarizes Step 2 outcomes for the coding pool. Of the retained hedges, all 65 were coded as epistemic caution. Politeness/deference is null (0). False positives totaled 65. Those 65 failed the claim condition or both removal checks. The direct comparison is therefore epistemic caution = 65, politeness/deference = 0, false positives = 65.</w:t>
      </w:r>
    </w:p>
    <w:p w:rsidR="00000000" w:rsidDel="00000000" w:rsidP="00000000" w:rsidRDefault="00000000" w:rsidRPr="00000000" w14:paraId="00000163">
      <w:pPr>
        <w:keepNext w:val="1"/>
        <w:spacing w:after="0" w:before="720" w:line="480" w:lineRule="auto"/>
        <w:ind w:firstLine="0"/>
        <w:jc w:val="center"/>
        <w:rPr/>
      </w:pPr>
      <w:r>
        <w:rPr>
          <w:rFonts w:ascii="Georgia" w:hAnsi="Georgia" w:eastAsia="Georgia" w:cs="Georgia"/>
          <w:b/>
          <w:sz w:val="24"/>
        </w:rPr>
        <w:t>Table 5</w:t>
      </w:r>
    </w:p>
    <w:p w:rsidR="00000000" w:rsidDel="00000000" w:rsidP="00000000" w:rsidRDefault="00000000" w:rsidRPr="00000000" w14:paraId="00000164">
      <w:pPr>
        <w:keepNext w:val="1"/>
        <w:spacing w:after="60" w:before="0" w:line="480" w:lineRule="auto"/>
        <w:jc w:val="center"/>
        <w:rPr/>
      </w:pPr>
      <w:r w:rsidDel="00000000" w:rsidR="00000000" w:rsidRPr="00000000">
        <w:rPr>
          <w:rFonts w:ascii="Georgia" w:hAnsi="Georgia" w:cs="Georgia" w:eastAsia="Georgia"/>
          <w:b w:val="0"/>
          <w:sz w:val="24"/>
          <w:rtl w:val="0"/>
        </w:rPr>
        <w:t>Function Distribution among Candidate Tokens</w:t>
      </w:r>
    </w:p>
    <w:tbl>
      <w:tblPr>
        <w:tblStyle w:val="Table6"/>
        <w:tblW w:w="8307.0" w:type="dxa"/>
        <w:jc w:val="left"/>
        <w:tblInd w:w="-223.0" w:type="dxa"/>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val="single" w:sz="4" w:color="000000" w:space="0"/>
              <w:left w:val="nil"/>
              <w:right w:val="nil"/>
              <w:top w:val="nil"/>
            </w:tcBorders>
          </w:tcPr>
          <w:p w:rsidR="00000000" w:rsidDel="00000000" w:rsidP="00000000" w:rsidRDefault="00000000" w:rsidRPr="00000000" w14:paraId="00000165">
            <w:pPr>
              <w:spacing w:after="0" w:before="0" w:line="240" w:lineRule="auto"/>
              <w:rPr>
                <w:sz w:val="18"/>
                <w:szCs w:val="18"/>
              </w:rPr>
            </w:pPr>
            <w:r>
              <w:rPr>
                <w:rFonts w:ascii="Georgia" w:hAnsi="Georgia" w:cs="Georgia" w:eastAsia="Georgia"/>
                <w:b/>
                <w:sz w:val="18"/>
              </w:rPr>
              <w:t>Function</w:t>
            </w:r>
          </w:p>
        </w:tc>
        <w:tc>
          <w:tcPr>
            <w:tcBorders>
              <w:bottom w:val="single" w:sz="4" w:color="000000" w:space="0"/>
              <w:left w:val="nil"/>
              <w:right w:val="nil"/>
              <w:top w:val="nil"/>
            </w:tcBorders>
          </w:tcPr>
          <w:p w:rsidR="00000000" w:rsidDel="00000000" w:rsidP="00000000" w:rsidRDefault="00000000" w:rsidRPr="00000000" w14:paraId="00000166">
            <w:pPr>
              <w:spacing w:after="0" w:before="0" w:line="240" w:lineRule="auto"/>
              <w:rPr>
                <w:sz w:val="18"/>
                <w:szCs w:val="18"/>
              </w:rPr>
            </w:pPr>
            <w:r>
              <w:rPr>
                <w:rFonts w:ascii="Georgia" w:hAnsi="Georgia" w:cs="Georgia" w:eastAsia="Georgia"/>
                <w:b/>
                <w:sz w:val="18"/>
              </w:rPr>
              <w:t>Frequency</w:t>
            </w:r>
          </w:p>
        </w:tc>
        <w:tc>
          <w:tcPr>
            <w:tcBorders>
              <w:bottom w:val="single" w:sz="4" w:color="000000" w:space="0"/>
              <w:left w:val="nil"/>
              <w:right w:val="nil"/>
              <w:top w:val="nil"/>
            </w:tcBorders>
          </w:tcPr>
          <w:p w:rsidR="00000000" w:rsidDel="00000000" w:rsidP="00000000" w:rsidRDefault="00000000" w:rsidRPr="00000000" w14:paraId="00000167">
            <w:pPr>
              <w:spacing w:after="0" w:before="0" w:line="240" w:lineRule="auto"/>
              <w:rPr>
                <w:sz w:val="18"/>
                <w:szCs w:val="18"/>
              </w:rPr>
            </w:pPr>
            <w:r>
              <w:rPr>
                <w:rFonts w:ascii="Georgia" w:hAnsi="Georgia" w:cs="Georgia" w:eastAsia="Georgia"/>
                <w:b/>
                <w:sz w:val="18"/>
              </w:rPr>
              <w:t>Note</w:t>
            </w:r>
          </w:p>
        </w:tc>
      </w:tr>
      <w:tr>
        <w:trPr>
          <w:cantSplit w:val="1"/>
          <w:tblHeader w:val="0"/>
        </w:trPr>
        <w:tc>
          <w:tcPr/>
          <w:p w:rsidR="00000000" w:rsidDel="00000000" w:rsidP="00000000" w:rsidRDefault="00000000" w:rsidRPr="00000000" w14:paraId="00000168">
            <w:pPr>
              <w:spacing w:after="0" w:before="0" w:line="240" w:lineRule="auto"/>
              <w:rPr>
                <w:sz w:val="18"/>
                <w:szCs w:val="18"/>
              </w:rPr>
            </w:pPr>
            <w:r>
              <w:rPr>
                <w:rFonts w:ascii="Georgia" w:hAnsi="Georgia" w:cs="Georgia" w:eastAsia="Georgia"/>
                <w:b w:val="0"/>
                <w:sz w:val="18"/>
              </w:rPr>
              <w:t>Epistemic caution</w:t>
            </w:r>
          </w:p>
        </w:tc>
        <w:tc>
          <w:tcPr/>
          <w:p w:rsidR="00000000" w:rsidDel="00000000" w:rsidP="00000000" w:rsidRDefault="00000000" w:rsidRPr="00000000" w14:paraId="00000169">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6A">
            <w:pPr>
              <w:spacing w:after="0" w:before="0" w:line="240" w:lineRule="auto"/>
              <w:rPr>
                <w:sz w:val="18"/>
                <w:szCs w:val="18"/>
              </w:rPr>
            </w:pPr>
            <w:r>
              <w:rPr>
                <w:rFonts w:ascii="Georgia" w:hAnsi="Georgia" w:cs="Georgia" w:eastAsia="Georgia"/>
                <w:b w:val="0"/>
                <w:sz w:val="18"/>
              </w:rPr>
              <w:t>Retained; passed Working Test</w:t>
            </w:r>
          </w:p>
        </w:tc>
      </w:tr>
      <w:tr>
        <w:trPr>
          <w:cantSplit w:val="1"/>
          <w:tblHeader w:val="0"/>
        </w:trPr>
        <w:tc>
          <w:tcPr/>
          <w:p w:rsidR="00000000" w:rsidDel="00000000" w:rsidP="00000000" w:rsidRDefault="00000000" w:rsidRPr="00000000" w14:paraId="0000016B">
            <w:pPr>
              <w:spacing w:after="0" w:before="0" w:line="240" w:lineRule="auto"/>
              <w:rPr>
                <w:sz w:val="18"/>
                <w:szCs w:val="18"/>
              </w:rPr>
            </w:pPr>
            <w:r>
              <w:rPr>
                <w:rFonts w:ascii="Georgia" w:hAnsi="Georgia" w:cs="Georgia" w:eastAsia="Georgia"/>
                <w:b w:val="0"/>
                <w:sz w:val="18"/>
              </w:rPr>
              <w:t>Politeness / deference</w:t>
            </w:r>
          </w:p>
        </w:tc>
        <w:tc>
          <w:tcPr/>
          <w:p w:rsidR="00000000" w:rsidDel="00000000" w:rsidP="00000000" w:rsidRDefault="00000000" w:rsidRPr="00000000" w14:paraId="0000016C">
            <w:pPr>
              <w:spacing w:after="0" w:before="0" w:line="240" w:lineRule="auto"/>
              <w:rPr>
                <w:sz w:val="18"/>
                <w:szCs w:val="18"/>
              </w:rPr>
            </w:pPr>
            <w:r>
              <w:rPr>
                <w:rFonts w:ascii="Georgia" w:hAnsi="Georgia" w:cs="Georgia" w:eastAsia="Georgia"/>
                <w:b w:val="0"/>
                <w:sz w:val="18"/>
              </w:rPr>
              <w:t>0</w:t>
            </w:r>
          </w:p>
        </w:tc>
        <w:tc>
          <w:tcPr/>
          <w:p w:rsidR="00000000" w:rsidDel="00000000" w:rsidP="00000000" w:rsidRDefault="00000000" w:rsidRPr="00000000" w14:paraId="0000016D">
            <w:pPr>
              <w:spacing w:after="0" w:before="0" w:line="240" w:lineRule="auto"/>
              <w:rPr>
                <w:sz w:val="18"/>
                <w:szCs w:val="18"/>
              </w:rPr>
            </w:pPr>
            <w:r>
              <w:rPr>
                <w:rFonts w:ascii="Georgia" w:hAnsi="Georgia" w:cs="Georgia" w:eastAsia="Georgia"/>
                <w:b w:val="0"/>
                <w:sz w:val="18"/>
              </w:rPr>
              <w:t>Null in this sample</w:t>
            </w:r>
          </w:p>
        </w:tc>
      </w:tr>
      <w:tr>
        <w:trPr>
          <w:cantSplit w:val="1"/>
          <w:tblHeader w:val="0"/>
        </w:trPr>
        <w:tc>
          <w:tcPr/>
          <w:p w:rsidR="00000000" w:rsidDel="00000000" w:rsidP="00000000" w:rsidRDefault="00000000" w:rsidRPr="00000000" w14:paraId="0000016E">
            <w:pPr>
              <w:spacing w:after="0" w:before="0" w:line="240" w:lineRule="auto"/>
              <w:rPr>
                <w:sz w:val="18"/>
                <w:szCs w:val="18"/>
              </w:rPr>
            </w:pPr>
            <w:r>
              <w:rPr>
                <w:rFonts w:ascii="Georgia" w:hAnsi="Georgia" w:cs="Georgia" w:eastAsia="Georgia"/>
                <w:b w:val="0"/>
                <w:sz w:val="18"/>
              </w:rPr>
              <w:t>False positive</w:t>
            </w:r>
          </w:p>
        </w:tc>
        <w:tc>
          <w:tcPr/>
          <w:p w:rsidR="00000000" w:rsidDel="00000000" w:rsidP="00000000" w:rsidRDefault="00000000" w:rsidRPr="00000000" w14:paraId="0000016F">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70">
            <w:pPr>
              <w:spacing w:after="0" w:before="0" w:line="240" w:lineRule="auto"/>
              <w:rPr>
                <w:sz w:val="18"/>
                <w:szCs w:val="18"/>
              </w:rPr>
            </w:pPr>
            <w:r>
              <w:rPr>
                <w:rFonts w:ascii="Georgia" w:hAnsi="Georgia" w:cs="Georgia" w:eastAsia="Georgia"/>
                <w:b w:val="0"/>
                <w:sz w:val="18"/>
              </w:rPr>
              <w:t>Not retained (failed claim condition or removal checks)</w:t>
            </w:r>
          </w:p>
        </w:tc>
      </w:tr>
      <w:tr>
        <w:trPr>
          <w:cantSplit w:val="1"/>
          <w:tblHeader w:val="0"/>
        </w:trPr>
        <w:tc>
          <w:tcPr>
            <w:tcBorders>
              <w:top w:val="single" w:sz="4" w:color="000000" w:space="0"/>
              <w:left w:val="nil"/>
              <w:right w:val="nil"/>
              <w:bottom w:val="nil"/>
            </w:tcBorders>
          </w:tcPr>
          <w:p w:rsidR="00000000" w:rsidDel="00000000" w:rsidP="00000000" w:rsidRDefault="00000000" w:rsidRPr="00000000" w14:paraId="00000171">
            <w:pPr>
              <w:spacing w:after="0" w:before="0" w:line="240" w:lineRule="auto"/>
              <w:rPr>
                <w:sz w:val="18"/>
                <w:szCs w:val="18"/>
              </w:rPr>
            </w:pPr>
            <w:r>
              <w:rPr>
                <w:rFonts w:ascii="Georgia" w:hAnsi="Georgia" w:cs="Georgia" w:eastAsia="Georgia"/>
                <w:b w:val="0"/>
                <w:sz w:val="18"/>
              </w:rPr>
              <w:t>Total</w:t>
            </w:r>
          </w:p>
        </w:tc>
        <w:tc>
          <w:tcPr>
            <w:tcBorders>
              <w:top w:val="single" w:sz="4" w:color="000000" w:space="0"/>
              <w:left w:val="nil"/>
              <w:right w:val="nil"/>
              <w:bottom w:val="nil"/>
            </w:tcBorders>
          </w:tcPr>
          <w:p w:rsidR="00000000" w:rsidDel="00000000" w:rsidP="00000000" w:rsidRDefault="00000000" w:rsidRPr="00000000" w14:paraId="00000172">
            <w:pPr>
              <w:spacing w:after="0" w:before="0" w:line="240" w:lineRule="auto"/>
              <w:rPr>
                <w:sz w:val="18"/>
                <w:szCs w:val="18"/>
              </w:rPr>
            </w:pPr>
            <w:r>
              <w:rPr>
                <w:rFonts w:ascii="Georgia" w:hAnsi="Georgia" w:cs="Georgia" w:eastAsia="Georgia"/>
                <w:b w:val="0"/>
                <w:sz w:val="18"/>
              </w:rPr>
              <w:t>130</w:t>
            </w:r>
          </w:p>
        </w:tc>
        <w:tc>
          <w:tcPr>
            <w:tcBorders>
              <w:top w:val="single" w:sz="4" w:color="000000" w:space="0"/>
              <w:left w:val="nil"/>
              <w:right w:val="nil"/>
              <w:bottom w:val="nil"/>
            </w:tcBorders>
          </w:tcPr>
          <w:p w:rsidR="00000000" w:rsidDel="00000000" w:rsidP="00000000" w:rsidRDefault="00000000" w:rsidRPr="00000000" w14:paraId="00000173">
            <w:pPr>
              <w:spacing w:after="0" w:before="0" w:line="240" w:lineRule="auto"/>
              <w:rPr>
                <w:sz w:val="18"/>
                <w:szCs w:val="18"/>
              </w:rPr>
            </w:pPr>
            <w:r>
              <w:rPr>
                <w:rFonts w:ascii="Georgia" w:hAnsi="Georgia" w:cs="Georgia" w:eastAsia="Georgia"/>
                <w:b w:val="0"/>
                <w:sz w:val="18"/>
              </w:rPr>
              <w:t>Logged candidate decisions</w:t>
            </w:r>
          </w:p>
        </w:tc>
      </w:tr>
    </w:tbl>
    <w:p w:rsidR="00000000" w:rsidDel="00000000" w:rsidP="00000000" w:rsidRDefault="00000000" w:rsidRPr="00000000" w14:paraId="00000174">
      <w:pPr>
        <w:spacing w:after="0" w:before="240" w:line="480" w:lineRule="auto"/>
        <w:ind w:firstLine="720"/>
        <w:jc w:val="both"/>
        <w:rPr/>
      </w:pPr>
      <w:r w:rsidDel="00000000" w:rsidR="00000000" w:rsidRPr="00000000">
        <w:rPr>
          <w:rtl w:val="0"/>
        </w:rPr>
        <w:t>No retained hedge was independently labeled politeness/deference.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The zero count for politeness/deference is the distribution of retained functions under that scheme: every claim-attached candidate was tested, and none passed as politeness/deference. Softened recommendations, where interpersonal softening is most likely, were logged as false positives (15 tokens) and never reached the Reader Test, so a scheme that counted them could return a different politeness/deference total. The result answers the function question as a split within the definition adopted here (stance change toward a proposition), not as evidence about politeness in abstracts generally. An all–epistemic caution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rsidR="00000000" w:rsidDel="00000000" w:rsidP="00000000" w:rsidRDefault="00000000" w:rsidRPr="00000000" w14:paraId="00000175">
      <w:pPr>
        <w:spacing w:after="0" w:before="0" w:line="480" w:lineRule="auto"/>
        <w:ind w:firstLine="720"/>
        <w:jc w:val="both"/>
        <w:rPr/>
      </w:pPr>
      <w:r w:rsidDel="00000000" w:rsidR="00000000" w:rsidRPr="00000000">
        <w:rPr>
          <w:rtl w:val="0"/>
        </w:rPr>
        <w:t>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potential and suggest/suggests/suggesting qualified applications or interpretations. Results sentences in the same abstracts often use factive verbs (showed, revealed, demonstrated)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(20 instances, all epistemic caution) almost exclusively marked possibility about results or implications, while Lexical hedges (42 instances, all epistemic caution) qualified the strength of findings or implications.</w:t>
      </w:r>
    </w:p>
    <w:p w:rsidR="00000000" w:rsidDel="00000000" w:rsidP="00000000" w:rsidRDefault="00000000" w:rsidRPr="00000000" w14:paraId="00000176">
      <w:pPr>
        <w:spacing w:after="0" w:before="0" w:line="480" w:lineRule="auto"/>
        <w:ind w:firstLine="720"/>
        <w:jc w:val="both"/>
        <w:rPr/>
      </w:pPr>
      <w:r w:rsidDel="00000000" w:rsidR="00000000" w:rsidRPr="00000000">
        <w:rPr>
          <w:rtl w:val="0"/>
        </w:rPr>
        <w:t xml:space="preserve">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rsidR="00000000" w:rsidDel="00000000" w:rsidP="00000000" w:rsidRDefault="00000000" w:rsidRPr="00000000" w14:paraId="00000177">
      <w:pPr>
        <w:keepNext w:val="1"/>
        <w:spacing w:after="120" w:before="240" w:line="480" w:lineRule="auto"/>
        <w:ind w:firstLine="0"/>
        <w:rPr>
          <w:sz w:val="24"/>
          <w:szCs w:val="24"/>
        </w:rPr>
      </w:pPr>
      <w:r w:rsidDel="00000000" w:rsidR="00000000" w:rsidRPr="00000000">
        <w:rPr>
          <w:b w:val="1"/>
          <w:bCs w:val="1"/>
          <w:sz w:val="24"/>
          <w:szCs w:val="24"/>
          <w:rtl w:val="0"/>
        </w:rPr>
        <w:t xml:space="preserve">Part IV: Uneven Caution across Programs</w:t>
      </w:r>
      <w:r w:rsidDel="00000000" w:rsidR="00000000" w:rsidRPr="00000000">
        <w:rPr>
          <w:rtl w:val="0"/>
        </w:rPr>
      </w:r>
    </w:p>
    <w:p w:rsidR="00000000" w:rsidDel="00000000" w:rsidP="00000000" w:rsidRDefault="00000000" w:rsidRPr="00000000" w14:paraId="00000178">
      <w:pPr>
        <w:spacing w:after="0" w:before="0" w:line="480" w:lineRule="auto"/>
        <w:ind w:firstLine="720"/>
        <w:jc w:val="both"/>
        <w:rPr/>
      </w:pPr>
      <w:r w:rsidDel="00000000" w:rsidR="00000000" w:rsidRPr="00000000">
        <w:rPr>
          <w:rtl w:val="0"/>
        </w:rPr>
        <w:t xml:space="preserve">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rsidR="00000000" w:rsidDel="00000000" w:rsidP="00000000" w:rsidRDefault="00000000" w:rsidRPr="00000000" w14:paraId="00000179">
      <w:pPr>
        <w:keepNext w:val="1"/>
        <w:pageBreakBefore w:val="0"/>
        <w:spacing w:after="0" w:before="720" w:line="480" w:lineRule="auto"/>
        <w:ind w:firstLine="0"/>
        <w:jc w:val="center"/>
        <w:rPr/>
      </w:pPr>
      <w:r>
        <w:rPr>
          <w:rFonts w:ascii="Georgia" w:hAnsi="Georgia" w:eastAsia="Georgia" w:cs="Georgia"/>
          <w:b/>
          <w:sz w:val="24"/>
        </w:rPr>
        <w:t>Table 6</w:t>
      </w:r>
    </w:p>
    <w:p w:rsidR="00000000" w:rsidDel="00000000" w:rsidP="00000000" w:rsidRDefault="00000000" w:rsidRPr="00000000" w14:paraId="0000017A">
      <w:pPr>
        <w:keepNext w:val="1"/>
        <w:spacing w:after="60" w:before="0" w:line="480" w:lineRule="auto"/>
        <w:jc w:val="center"/>
        <w:rPr/>
      </w:pPr>
      <w:r w:rsidDel="00000000" w:rsidR="00000000" w:rsidRPr="00000000">
        <w:rPr>
          <w:rtl w:val="0"/>
        </w:rPr>
        <w:t xml:space="preserve">Outcome Type by Discipline</w:t>
      </w:r>
    </w:p>
    <w:tbl>
      <w:tblPr>
        <w:tblStyle w:val="Table7"/>
        <w:tblW w:w="8305.0" w:type="dxa"/>
        <w:jc w:val="left"/>
        <w:tblInd w:w="-223.0" w:type="dxa"/>
        <w:tblLayout w:type="fixed"/>
        <w:tblLook w:val="0400"/>
      </w:tblPr>
      <w:tblGrid>
        <w:gridCol w:w="1661"/>
        <w:gridCol w:w="1661"/>
        <w:gridCol w:w="1661"/>
        <w:gridCol w:w="1661"/>
        <w:gridCol w:w="1661"/>
        <w:tblGridChange w:id="0">
          <w:tblGrid>
            <w:gridCol w:w="1661"/>
            <w:gridCol w:w="1661"/>
            <w:gridCol w:w="1661"/>
            <w:gridCol w:w="1661"/>
            <w:gridCol w:w="1661"/>
          </w:tblGrid>
        </w:tblGridChange>
      </w:tblGrid>
      <w:tr>
        <w:trPr>
          <w:cantSplit w:val="1"/>
          <w:tblHeader w:val="1"/>
        </w:trPr>
        <w:tc>
          <w:tcPr>
            <w:tcBorders>
              <w:top w:color="000000" w:space="0" w:sz="18" w:val="single"/>
              <w:bottom w:color="000000" w:space="0" w:sz="4" w:val="single"/>
            </w:tcBorders>
          </w:tcPr>
          <w:p w:rsidR="00000000" w:rsidDel="00000000" w:rsidP="00000000" w:rsidRDefault="00000000" w:rsidRPr="00000000" w14:paraId="0000017B">
            <w:pPr>
              <w:spacing w:after="0" w:before="0" w:line="480" w:lineRule="auto"/>
              <w:rPr>
                <w:sz w:val="18"/>
                <w:szCs w:val="18"/>
              </w:rPr>
            </w:pPr>
            <w:r w:rsidDel="00000000" w:rsidR="00000000" w:rsidRPr="00000000">
              <w:rPr>
                <w:b w:val="1"/>
                <w:bCs w:val="1"/>
                <w:sz w:val="18"/>
                <w:szCs w:val="18"/>
                <w:rtl w:val="0"/>
              </w:rPr>
              <w:t xml:space="preserve">Outcome Type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C">
            <w:pPr>
              <w:spacing w:after="0" w:before="0" w:line="480" w:lineRule="auto"/>
              <w:rPr>
                <w:sz w:val="18"/>
                <w:szCs w:val="18"/>
              </w:rPr>
            </w:pPr>
            <w:r w:rsidDel="00000000" w:rsidR="00000000" w:rsidRPr="00000000">
              <w:rPr>
                <w:b w:val="1"/>
                <w:bCs w:val="1"/>
                <w:sz w:val="18"/>
                <w:szCs w:val="18"/>
                <w:rtl w:val="0"/>
              </w:rPr>
              <w:t xml:space="preserve">Agriculture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D">
            <w:pPr>
              <w:spacing w:after="0" w:before="0" w:line="480" w:lineRule="auto"/>
              <w:rPr>
                <w:sz w:val="18"/>
                <w:szCs w:val="18"/>
              </w:rPr>
            </w:pPr>
            <w:r w:rsidDel="00000000" w:rsidR="00000000" w:rsidRPr="00000000">
              <w:rPr>
                <w:b w:val="1"/>
                <w:bCs w:val="1"/>
                <w:sz w:val="18"/>
                <w:szCs w:val="18"/>
                <w:rtl w:val="0"/>
              </w:rPr>
              <w:t xml:space="preserve">Veterinary Medicine</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E">
            <w:pPr>
              <w:spacing w:after="0" w:before="0" w:line="480" w:lineRule="auto"/>
              <w:rPr>
                <w:sz w:val="18"/>
                <w:szCs w:val="18"/>
              </w:rPr>
            </w:pPr>
            <w:r w:rsidDel="00000000" w:rsidR="00000000" w:rsidRPr="00000000">
              <w:rPr>
                <w:b w:val="1"/>
                <w:bCs w:val="1"/>
                <w:sz w:val="18"/>
                <w:szCs w:val="18"/>
                <w:rtl w:val="0"/>
              </w:rPr>
              <w:t xml:space="preserve">Biology</w:t>
            </w:r>
            <w:r w:rsidDel="00000000" w:rsidR="00000000" w:rsidRPr="00000000">
              <w:rPr>
                <w:rtl w:val="0"/>
              </w:rPr>
            </w:r>
          </w:p>
        </w:tc>
        <w:tc>
          <w:tcPr>
            <w:tcBorders>
              <w:top w:color="000000" w:space="0" w:sz="18" w:val="single"/>
              <w:bottom w:color="000000" w:space="0" w:sz="4" w:val="single"/>
            </w:tcBorders>
          </w:tcPr>
          <w:p w:rsidR="00000000" w:rsidDel="00000000" w:rsidP="00000000" w:rsidRDefault="00000000" w:rsidRPr="00000000" w14:paraId="0000017F">
            <w:pPr>
              <w:spacing w:after="0" w:before="0" w:line="480" w:lineRule="auto"/>
              <w:rPr>
                <w:sz w:val="18"/>
                <w:szCs w:val="18"/>
              </w:rPr>
            </w:pPr>
            <w:r w:rsidDel="00000000" w:rsidR="00000000" w:rsidRPr="00000000">
              <w:rPr>
                <w:b w:val="1"/>
                <w:bCs w:val="1"/>
                <w:sz w:val="18"/>
                <w:szCs w:val="18"/>
                <w:rtl w:val="0"/>
              </w:rPr>
              <w:t xml:space="preserve">Total</w:t>
            </w:r>
            <w:r w:rsidDel="00000000" w:rsidR="00000000" w:rsidRPr="00000000">
              <w:rPr>
                <w:rtl w:val="0"/>
              </w:rPr>
            </w:r>
          </w:p>
        </w:tc>
      </w:tr>
      <w:tr>
        <w:trPr>
          <w:cantSplit w:val="1"/>
          <w:tblHeader w:val="0"/>
        </w:trPr>
        <w:tc>
          <w:tcPr/>
          <w:p w:rsidR="00000000" w:rsidDel="00000000" w:rsidP="00000000" w:rsidRDefault="00000000" w:rsidRPr="00000000" w14:paraId="00000180">
            <w:pPr>
              <w:spacing w:after="0" w:before="0" w:line="480" w:lineRule="auto"/>
              <w:rPr>
                <w:sz w:val="18"/>
                <w:szCs w:val="18"/>
              </w:rPr>
            </w:pPr>
            <w:r w:rsidDel="00000000" w:rsidR="00000000" w:rsidRPr="00000000">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sidDel="00000000" w:rsidR="00000000" w:rsidRPr="00000000">
              <w:rPr>
                <w:sz w:val="18"/>
                <w:szCs w:val="18"/>
                <w:rtl w:val="0"/>
              </w:rPr>
              <w:t xml:space="preserve">15</w:t>
            </w:r>
          </w:p>
        </w:tc>
      </w:tr>
      <w:tr>
        <w:trPr>
          <w:cantSplit w:val="1"/>
          <w:tblHeader w:val="0"/>
        </w:trPr>
        <w:tc>
          <w:tcPr/>
          <w:p w:rsidR="00000000" w:rsidDel="00000000" w:rsidP="00000000" w:rsidRDefault="00000000" w:rsidRPr="00000000" w14:paraId="00000185">
            <w:pPr>
              <w:spacing w:after="0" w:before="0" w:line="480" w:lineRule="auto"/>
              <w:rPr>
                <w:sz w:val="18"/>
                <w:szCs w:val="18"/>
              </w:rPr>
            </w:pPr>
            <w:r w:rsidDel="00000000" w:rsidR="00000000" w:rsidRPr="00000000">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sidDel="00000000" w:rsidR="00000000" w:rsidRPr="00000000">
              <w:rPr>
                <w:sz w:val="18"/>
                <w:szCs w:val="18"/>
                <w:rtl w:val="0"/>
              </w:rPr>
              <w:t xml:space="preserve">10</w:t>
            </w:r>
          </w:p>
        </w:tc>
      </w:tr>
      <w:tr>
        <w:trPr>
          <w:cantSplit w:val="1"/>
          <w:tblHeader w:val="0"/>
        </w:trPr>
        <w:tc>
          <w:tcPr/>
          <w:p w:rsidR="00000000" w:rsidDel="00000000" w:rsidP="00000000" w:rsidRDefault="00000000" w:rsidRPr="00000000" w14:paraId="0000018A">
            <w:pPr>
              <w:spacing w:after="0" w:before="0" w:line="480" w:lineRule="auto"/>
              <w:rPr>
                <w:sz w:val="18"/>
                <w:szCs w:val="18"/>
              </w:rPr>
            </w:pPr>
            <w:r w:rsidDel="00000000" w:rsidR="00000000" w:rsidRPr="00000000">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sidDel="00000000" w:rsidR="00000000" w:rsidRPr="00000000">
              <w:rPr>
                <w:sz w:val="18"/>
                <w:szCs w:val="18"/>
                <w:rtl w:val="0"/>
              </w:rPr>
              <w:t xml:space="preserve">9</w:t>
            </w:r>
          </w:p>
        </w:tc>
      </w:tr>
      <w:tr>
        <w:trPr>
          <w:cantSplit w:val="1"/>
          <w:tblHeader w:val="0"/>
        </w:trPr>
        <w:tc>
          <w:tcPr/>
          <w:p w:rsidR="00000000" w:rsidDel="00000000" w:rsidP="00000000" w:rsidRDefault="00000000" w:rsidRPr="00000000" w14:paraId="0000018F">
            <w:pPr>
              <w:spacing w:after="0" w:before="0" w:line="480" w:lineRule="auto"/>
              <w:rPr>
                <w:sz w:val="18"/>
                <w:szCs w:val="18"/>
              </w:rPr>
            </w:pPr>
            <w:r w:rsidDel="00000000" w:rsidR="00000000" w:rsidRPr="00000000">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sidDel="00000000" w:rsidR="00000000" w:rsidRPr="00000000">
              <w:rPr>
                <w:sz w:val="18"/>
                <w:szCs w:val="18"/>
                <w:rtl w:val="0"/>
              </w:rPr>
              <w:t xml:space="preserve">21</w:t>
            </w:r>
          </w:p>
        </w:tc>
      </w:tr>
      <w:tr>
        <w:trPr>
          <w:cantSplit w:val="1"/>
          <w:tblHeader w:val="0"/>
        </w:trPr>
        <w:tc>
          <w:tcPr/>
          <w:p w:rsidR="00000000" w:rsidDel="00000000" w:rsidP="00000000" w:rsidRDefault="00000000" w:rsidRPr="00000000" w14:paraId="00000194">
            <w:pPr>
              <w:spacing w:after="0" w:before="0" w:line="480" w:lineRule="auto"/>
              <w:rPr>
                <w:sz w:val="18"/>
                <w:szCs w:val="18"/>
              </w:rPr>
            </w:pPr>
            <w:r w:rsidDel="00000000" w:rsidR="00000000" w:rsidRPr="00000000">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sidDel="00000000" w:rsidR="00000000" w:rsidRPr="00000000">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sidDel="00000000" w:rsidR="00000000" w:rsidRPr="00000000">
              <w:rPr>
                <w:sz w:val="18"/>
                <w:szCs w:val="18"/>
                <w:rtl w:val="0"/>
              </w:rPr>
              <w:t xml:space="preserve">5</w:t>
            </w:r>
          </w:p>
        </w:tc>
      </w:tr>
      <w:tr>
        <w:trPr>
          <w:cantSplit w:val="1"/>
          <w:tblHeader w:val="0"/>
        </w:trPr>
        <w:tc>
          <w:tcPr>
            <w:tcBorders>
              <w:bottom w:color="000000" w:space="0" w:sz="18" w:val="single"/>
            </w:tcBorders>
          </w:tcPr>
          <w:p w:rsidR="00000000" w:rsidDel="00000000" w:rsidP="00000000" w:rsidRDefault="00000000" w:rsidRPr="00000000" w14:paraId="00000199">
            <w:pPr>
              <w:spacing w:after="0" w:before="0" w:line="480" w:lineRule="auto"/>
              <w:rPr>
                <w:sz w:val="18"/>
                <w:szCs w:val="18"/>
              </w:rPr>
            </w:pPr>
            <w:r w:rsidDel="00000000" w:rsidR="00000000" w:rsidRPr="00000000">
              <w:rPr>
                <w:sz w:val="18"/>
                <w:szCs w:val="18"/>
                <w:rtl w:val="0"/>
              </w:rPr>
              <w:t xml:space="preserve">Total</w:t>
            </w:r>
          </w:p>
        </w:tc>
        <w:tc>
          <w:tcPr>
            <w:tcBorders>
              <w:bottom w:color="000000" w:space="0" w:sz="18" w:val="single"/>
            </w:tcBorders>
          </w:tcPr>
          <w:p w:rsidR="00000000" w:rsidDel="00000000" w:rsidP="00000000" w:rsidRDefault="00000000" w:rsidRPr="00000000" w14:paraId="0000019A">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B">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C">
            <w:pPr>
              <w:spacing w:after="0" w:before="0" w:line="480" w:lineRule="auto"/>
              <w:rPr>
                <w:sz w:val="18"/>
                <w:szCs w:val="18"/>
              </w:rPr>
            </w:pPr>
            <w:r w:rsidDel="00000000" w:rsidR="00000000" w:rsidRPr="00000000">
              <w:rPr>
                <w:sz w:val="18"/>
                <w:szCs w:val="18"/>
                <w:rtl w:val="0"/>
              </w:rPr>
              <w:t xml:space="preserve">20</w:t>
            </w:r>
          </w:p>
        </w:tc>
        <w:tc>
          <w:tcPr>
            <w:tcBorders>
              <w:bottom w:color="000000" w:space="0" w:sz="18" w:val="single"/>
            </w:tcBorders>
          </w:tcPr>
          <w:p w:rsidR="00000000" w:rsidDel="00000000" w:rsidP="00000000" w:rsidRDefault="00000000" w:rsidRPr="00000000" w14:paraId="0000019D">
            <w:pPr>
              <w:spacing w:after="0" w:before="0" w:line="480" w:lineRule="auto"/>
              <w:rPr>
                <w:sz w:val="18"/>
                <w:szCs w:val="18"/>
              </w:rPr>
            </w:pPr>
            <w:r w:rsidDel="00000000" w:rsidR="00000000" w:rsidRPr="00000000">
              <w:rPr>
                <w:sz w:val="18"/>
                <w:szCs w:val="18"/>
                <w:rtl w:val="0"/>
              </w:rPr>
              <w:t xml:space="preserve">60</w:t>
            </w:r>
          </w:p>
        </w:tc>
      </w:tr>
    </w:tbl>
    <w:p w:rsidR="00000000" w:rsidDel="00000000" w:rsidP="00000000" w:rsidRDefault="00000000" w:rsidRPr="00000000" w14:paraId="0000019E">
      <w:pPr>
        <w:spacing w:after="0" w:before="240" w:line="480" w:lineRule="auto"/>
        <w:ind w:firstLine="720"/>
        <w:jc w:val="both"/>
        <w:rPr/>
      </w:pPr>
      <w:r>
        <w:rPr>
          <w:rFonts w:ascii="Times New Roman" w:hAnsi="Times New Roman" w:eastAsia="Times New Roman" w:cs="Times New Roman"/>
          <w:b w:val="0"/>
          <w:sz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6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9F">
      <w:pPr>
        <w:spacing w:after="0" w:before="0" w:line="480" w:lineRule="auto"/>
        <w:ind w:firstLine="720"/>
        <w:jc w:val="both"/>
        <w:rPr/>
      </w:pPr>
      <w:r>
        <w:rPr>
          <w:rFonts w:ascii="Times New Roman" w:hAnsi="Times New Roman" w:eastAsia="Times New Roman" w:cs="Times New Roman"/>
          <w:b w:val="0"/>
          <w:sz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claims were 4 in Veterinary Medicine, 4 in Biology, and 6 in Agriculture (Table 4), so VM shows no sign of more overclaiming. Hyland’s (2005) stance model fits this reading: fewer hedges mean less explicit softening of authorial commitment.</w:t>
      </w:r>
    </w:p>
    <w:p w:rsidR="00000000" w:rsidDel="00000000" w:rsidP="00000000" w:rsidRDefault="00000000" w:rsidRPr="00000000" w14:paraId="000001A0">
      <w:pPr>
        <w:spacing w:after="0" w:before="0" w:line="480" w:lineRule="auto"/>
        <w:ind w:firstLine="720"/>
        <w:jc w:val="both"/>
        <w:rPr/>
      </w:pPr>
      <w:r w:rsidDel="00000000" w:rsidR="00000000" w:rsidRPr="00000000">
        <w:rPr>
          <w:rtl w:val="0"/>
        </w:rPr>
        <w:t xml:space="preserve">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rsidR="00000000" w:rsidDel="00000000" w:rsidP="00000000" w:rsidRDefault="00000000" w:rsidRPr="00000000" w14:paraId="000001A1">
      <w:pPr>
        <w:spacing w:after="0" w:before="0" w:line="480" w:lineRule="auto"/>
        <w:ind w:firstLine="720"/>
        <w:jc w:val="both"/>
        <w:rPr/>
      </w:pPr>
      <w:r w:rsidDel="00000000" w:rsidR="00000000" w:rsidRPr="00000000">
        <w:rPr>
          <w:rtl w:val="0"/>
        </w:rPr>
        <w:t xml:space="preserve">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rsidR="00000000" w:rsidDel="00000000" w:rsidP="00000000" w:rsidRDefault="00000000" w:rsidRPr="00000000" w14:paraId="000001A2">
      <w:pPr>
        <w:spacing w:after="0" w:before="0" w:line="480" w:lineRule="auto"/>
        <w:ind w:firstLine="720"/>
        <w:jc w:val="both"/>
        <w:rPr/>
      </w:pPr>
      <w:r w:rsidDel="00000000" w:rsidR="00000000" w:rsidRPr="00000000">
        <w:rPr>
          <w:rtl w:val="0"/>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all–epistemic caution profile. Comparing early drafts with the ratified abstracts would test it.</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4">
      <w:pPr>
        <w:spacing w:after="240" w:before="0" w:line="480" w:lineRule="auto"/>
        <w:ind w:firstLine="0"/>
        <w:jc w:val="center"/>
        <w:rPr>
          <w:sz w:val="28"/>
          <w:szCs w:val="28"/>
        </w:rPr>
      </w:pPr>
      <w:r w:rsidDel="00000000" w:rsidR="00000000" w:rsidRPr="00000000">
        <w:rPr>
          <w:b w:val="1"/>
          <w:bCs w:val="1"/>
          <w:sz w:val="28"/>
          <w:szCs w:val="28"/>
          <w:rtl w:val="0"/>
        </w:rPr>
        <w:t xml:space="preserve">CONCLUSIONS AND RECOMMENDATIONS</w:t>
      </w:r>
      <w:r w:rsidDel="00000000" w:rsidR="00000000" w:rsidRPr="00000000">
        <w:rPr>
          <w:rtl w:val="0"/>
        </w:rPr>
      </w:r>
    </w:p>
    <w:p w:rsidR="00000000" w:rsidDel="00000000" w:rsidP="00000000" w:rsidRDefault="00000000" w:rsidRPr="00000000" w14:paraId="000001A5">
      <w:pPr>
        <w:spacing w:after="0" w:before="0" w:line="480" w:lineRule="auto"/>
        <w:ind w:firstLine="720"/>
        <w:jc w:val="both"/>
        <w:rPr/>
      </w:pPr>
      <w:r w:rsidDel="00000000" w:rsidR="00000000" w:rsidRPr="00000000">
        <w:rPr>
          <w:rtl w:val="0"/>
        </w:rPr>
      </w:r>
    </w:p>
    <w:p w:rsidR="00000000" w:rsidDel="00000000" w:rsidP="00000000" w:rsidRDefault="00000000" w:rsidRPr="00000000" w14:paraId="000001A6">
      <w:pPr>
        <w:spacing w:after="0" w:before="0" w:line="480" w:lineRule="auto"/>
        <w:ind w:firstLine="720"/>
        <w:jc w:val="both"/>
        <w:rPr/>
      </w:pPr>
      <w:r w:rsidDel="00000000" w:rsidR="00000000" w:rsidRPr="00000000">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sidDel="00000000" w:rsidR="00000000" w:rsidRPr="00000000">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sidDel="00000000" w:rsidR="00000000" w:rsidRPr="00000000">
        <w:rPr>
          <w:b w:val="1"/>
          <w:bCs w:val="1"/>
          <w:sz w:val="24"/>
          <w:szCs w:val="24"/>
          <w:rtl w:val="0"/>
        </w:rPr>
        <w:t xml:space="preserve">Conclusions</w:t>
      </w:r>
      <w:r w:rsidDel="00000000" w:rsidR="00000000" w:rsidRPr="00000000">
        <w:rPr>
          <w:rtl w:val="0"/>
        </w:rPr>
      </w:r>
    </w:p>
    <w:p w:rsidR="00000000" w:rsidDel="00000000" w:rsidP="00000000" w:rsidRDefault="00000000" w:rsidRPr="00000000" w14:paraId="000001A9">
      <w:pPr>
        <w:spacing w:after="0" w:before="0" w:line="480" w:lineRule="auto"/>
        <w:ind w:firstLine="720"/>
        <w:jc w:val="both"/>
        <w:rPr/>
      </w:pPr>
      <w:r w:rsidDel="00000000" w:rsidR="00000000" w:rsidRPr="00000000">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sidDel="00000000" w:rsidR="00000000" w:rsidRPr="00000000">
        <w:rPr>
          <w:rtl w:val="0"/>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sidDel="00000000" w:rsidR="00000000" w:rsidRPr="00000000">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1AD">
      <w:pPr>
        <w:spacing w:after="0" w:before="0" w:line="480" w:lineRule="auto"/>
        <w:ind w:firstLine="720"/>
        <w:jc w:val="both"/>
        <w:rPr/>
      </w:pPr>
      <w:r w:rsidDel="00000000" w:rsidR="00000000" w:rsidRPr="00000000">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sidDel="00000000" w:rsidR="00000000" w:rsidRPr="00000000">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sidDel="00000000" w:rsidR="00000000" w:rsidRPr="00000000">
        <w:rPr>
          <w:i w:val="1"/>
          <w:iCs w:val="1"/>
          <w:rtl w:val="0"/>
        </w:rPr>
        <w:t xml:space="preserve">potential</w:t>
      </w:r>
      <w:r w:rsidDel="00000000" w:rsidR="00000000" w:rsidRPr="00000000">
        <w:rPr>
          <w:rtl w:val="0"/>
        </w:rPr>
        <w:t xml:space="preserve"> and </w:t>
      </w:r>
      <w:r w:rsidDel="00000000" w:rsidR="00000000" w:rsidRPr="00000000">
        <w:rPr>
          <w:i w:val="1"/>
          <w:iCs w:val="1"/>
          <w:rtl w:val="0"/>
        </w:rPr>
        <w:t xml:space="preserve">suggest</w:t>
      </w:r>
      <w:r w:rsidDel="00000000" w:rsidR="00000000" w:rsidRPr="00000000">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sidDel="00000000" w:rsidR="00000000" w:rsidRPr="00000000">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sidDel="00000000" w:rsidR="00000000" w:rsidRPr="00000000">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B2">
      <w:pPr>
        <w:spacing w:after="0" w:before="0" w:line="480" w:lineRule="auto"/>
        <w:ind w:left="720" w:firstLine="720"/>
        <w:jc w:val="both"/>
        <w:rPr/>
      </w:pPr>
      <w:r w:rsidDel="00000000" w:rsidR="00000000" w:rsidRPr="00000000">
        <w:rPr>
          <w:rtl w:val="0"/>
        </w:rPr>
      </w:r>
    </w:p>
    <w:p w:rsidR="00000000" w:rsidDel="00000000" w:rsidP="00000000" w:rsidRDefault="00000000" w:rsidRPr="00000000" w14:paraId="000001B3">
      <w:pPr>
        <w:spacing w:after="0" w:before="0" w:line="480" w:lineRule="auto"/>
        <w:ind w:left="720" w:hanging="720"/>
        <w:jc w:val="both"/>
        <w:rPr/>
      </w:pPr>
      <w:r w:rsidDel="00000000" w:rsidR="00000000" w:rsidRPr="00000000">
        <w:rPr>
          <w:rtl w:val="0"/>
        </w:rPr>
        <w:t xml:space="preserve">Afshar, H. S., Moradi, M., &amp; Hamzavi, R. (2014). Frequency and type of hedging devices used in the research articles of humanities, basic sciences and agriculture. Procedia - Social and Behavioral Sciences, 136, 70-74. </w:t>
      </w:r>
      <w:hyperlink r:id="rId29">
        <w:r w:rsidDel="00000000" w:rsidR="00000000" w:rsidRPr="00000000">
          <w:rPr>
            <w:color w:val="1155cc"/>
            <w:u w:val="single"/>
            <w:rtl w:val="0"/>
          </w:rPr>
          <w:t xml:space="preserve">https://doi.org/10.1016/j.sbspro.2014.05.290</w:t>
        </w:r>
      </w:hyperlink>
      <w:r w:rsidDel="00000000" w:rsidR="00000000" w:rsidRPr="00000000">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sidDel="00000000" w:rsidR="00000000" w:rsidRPr="00000000">
        <w:rPr>
          <w:rtl w:val="0"/>
        </w:rPr>
        <w:t xml:space="preserve">Biber, D., Conrad, S., &amp; Reppen, R. (1998). </w:t>
      </w:r>
      <w:r w:rsidDel="00000000" w:rsidR="00000000" w:rsidRPr="00000000">
        <w:rPr>
          <w:i w:val="1"/>
          <w:iCs w:val="1"/>
          <w:rtl w:val="0"/>
        </w:rPr>
        <w:t xml:space="preserve">Corpus linguistics: Investigating language structure and use</w:t>
      </w:r>
      <w:r w:rsidDel="00000000" w:rsidR="00000000" w:rsidRPr="00000000">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sidDel="00000000" w:rsidR="00000000" w:rsidRPr="00000000">
        <w:rPr>
          <w:rtl w:val="0"/>
        </w:rPr>
        <w:t xml:space="preserve">Crompton, P. (1997). Hedging in academic writing: Some theoretical problems. English for Specific Purposes, 16(4), 271-287. </w:t>
      </w:r>
      <w:hyperlink r:id="rId30">
        <w:r w:rsidDel="00000000" w:rsidR="00000000" w:rsidRPr="00000000">
          <w:rPr>
            <w:color w:val="1155cc"/>
            <w:u w:val="single"/>
            <w:rtl w:val="0"/>
          </w:rPr>
          <w:t xml:space="preserve">https://doi.org/10.1016/S0889-4906(97)00007-0</w:t>
        </w:r>
      </w:hyperlink>
      <w:r w:rsidDel="00000000" w:rsidR="00000000" w:rsidRPr="00000000">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sidDel="00000000" w:rsidR="00000000" w:rsidRPr="00000000">
        <w:rPr>
          <w:rtl w:val="0"/>
        </w:rPr>
        <w:t xml:space="preserve">Demir, C. (2018). Hedging and academic writing: An analysis of lexical hedges. Journal of Language and Linguistic Studies, 14(4), 74-92. </w:t>
      </w:r>
      <w:hyperlink r:id="rId31">
        <w:r w:rsidDel="00000000" w:rsidR="00000000" w:rsidRPr="00000000">
          <w:rPr>
            <w:color w:val="1155cc"/>
            <w:u w:val="single"/>
            <w:rtl w:val="0"/>
          </w:rPr>
          <w:t xml:space="preserve">https://files.eric.ed.gov/fulltext/EJ1201945.pdf</w:t>
        </w:r>
      </w:hyperlink>
      <w:r w:rsidDel="00000000" w:rsidR="00000000" w:rsidRPr="00000000">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sidDel="00000000" w:rsidR="00000000" w:rsidRPr="00000000">
        <w:rPr>
          <w:rtl w:val="0"/>
        </w:rPr>
        <w:t xml:space="preserve">Escalona, S. L. (2025). Hedges and boosters in college essays: A study of linguistic modulation in student writing. International Journal of English Literature and Social Sciences, 10(1), 7-17. </w:t>
      </w:r>
      <w:hyperlink r:id="rId32">
        <w:r w:rsidDel="00000000" w:rsidR="00000000" w:rsidRPr="00000000">
          <w:rPr>
            <w:color w:val="1155cc"/>
            <w:u w:val="single"/>
            <w:rtl w:val="0"/>
          </w:rPr>
          <w:t xml:space="preserve">https://doi.org/10.22161/ijels.101.2</w:t>
        </w:r>
      </w:hyperlink>
      <w:r w:rsidDel="00000000" w:rsidR="00000000" w:rsidRPr="00000000">
        <w:rPr>
          <w:rtl w:val="0"/>
        </w:rPr>
      </w:r>
    </w:p>
    <w:p w:rsidR="00000000" w:rsidDel="00000000" w:rsidP="00000000" w:rsidRDefault="00000000" w:rsidRPr="00000000" w14:paraId="000001B8">
      <w:pPr>
        <w:spacing w:after="0" w:before="0" w:line="480" w:lineRule="auto"/>
        <w:ind w:left="720" w:hanging="720"/>
        <w:jc w:val="both"/>
        <w:rPr/>
      </w:pPr>
      <w:r w:rsidDel="00000000" w:rsidR="00000000" w:rsidRPr="00000000">
        <w:rPr>
          <w:rtl w:val="0"/>
        </w:rPr>
        <w:t xml:space="preserve">Ghia, E., Petrocelli, E., &amp; Pizziconi, S. (2022). Data possibly suggest… Hedging in second language writing: A study on advanced Italian EFL learners. Belgrade English Language and Literature Studies, 14, 47-72. </w:t>
      </w:r>
      <w:hyperlink r:id="rId33">
        <w:r w:rsidDel="00000000" w:rsidR="00000000" w:rsidRPr="00000000">
          <w:rPr>
            <w:color w:val="1155cc"/>
            <w:u w:val="single"/>
            <w:rtl w:val="0"/>
          </w:rPr>
          <w:t xml:space="preserve">https://doi.org/10.18485/bells.2022.14.2</w:t>
        </w:r>
      </w:hyperlink>
      <w:r w:rsidDel="00000000" w:rsidR="00000000" w:rsidRPr="00000000">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sidDel="00000000" w:rsidR="00000000" w:rsidRPr="00000000">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sidDel="00000000" w:rsidR="00000000" w:rsidRPr="00000000">
        <w:rPr>
          <w:rtl w:val="0"/>
        </w:rPr>
        <w:t xml:space="preserve">Hamidi, H., Najafi Sarem, S., &amp; Lotfi, A. H. (2025). Exploring hedging devices in scientific research papers: A content analysis study of the Medical Journal of the Islamic Republic of Iran. </w:t>
      </w:r>
      <w:r w:rsidDel="00000000" w:rsidR="00000000" w:rsidRPr="00000000">
        <w:rPr>
          <w:i w:val="1"/>
          <w:iCs w:val="1"/>
          <w:rtl w:val="0"/>
        </w:rPr>
        <w:t xml:space="preserve">Medical Journal of the Islamic Republic of Iran, 39</w:t>
      </w:r>
      <w:r w:rsidDel="00000000" w:rsidR="00000000" w:rsidRPr="00000000">
        <w:rPr>
          <w:rtl w:val="0"/>
        </w:rPr>
        <w:t xml:space="preserve">, Article 125. </w:t>
      </w:r>
      <w:hyperlink r:id="rId34">
        <w:r w:rsidDel="00000000" w:rsidR="00000000" w:rsidRPr="00000000">
          <w:rPr>
            <w:color w:val="1155cc"/>
            <w:u w:val="single"/>
            <w:rtl w:val="0"/>
          </w:rPr>
          <w:t xml:space="preserve">https://pmc.ncbi.nlm.nih.gov/articles/PMC12584097/</w:t>
        </w:r>
      </w:hyperlink>
      <w:r w:rsidDel="00000000" w:rsidR="00000000" w:rsidRPr="00000000">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sidDel="00000000" w:rsidR="00000000" w:rsidRPr="00000000">
        <w:rPr>
          <w:rtl w:val="0"/>
        </w:rPr>
        <w:t xml:space="preserve">Hu, G., &amp; Cao, F. (2011). Hedging and boosting in abstracts of applied linguistics articles: A comparative study of English- and Chinese-medium journals. Journal of Pragmatics, 43(11), 2795-2809. </w:t>
      </w:r>
      <w:hyperlink r:id="rId35">
        <w:r w:rsidDel="00000000" w:rsidR="00000000" w:rsidRPr="00000000">
          <w:rPr>
            <w:color w:val="1155cc"/>
            <w:u w:val="single"/>
            <w:rtl w:val="0"/>
          </w:rPr>
          <w:t xml:space="preserve">https://doi.org/10.1016/j.pragma.2011.04.007</w:t>
        </w:r>
      </w:hyperlink>
      <w:r w:rsidDel="00000000" w:rsidR="00000000" w:rsidRPr="00000000">
        <w:rPr>
          <w:rtl w:val="0"/>
        </w:rPr>
      </w:r>
    </w:p>
    <w:p w:rsidR="00000000" w:rsidDel="00000000" w:rsidP="00000000" w:rsidRDefault="00000000" w:rsidRPr="00000000" w14:paraId="000001BC">
      <w:pPr>
        <w:spacing w:after="0" w:before="0" w:line="480" w:lineRule="auto"/>
        <w:ind w:left="720" w:hanging="720"/>
        <w:jc w:val="both"/>
        <w:rPr/>
      </w:pPr>
      <w:r w:rsidDel="00000000" w:rsidR="00000000" w:rsidRPr="00000000">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sidDel="00000000" w:rsidR="00000000" w:rsidRPr="00000000">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sidDel="00000000" w:rsidR="00000000" w:rsidRPr="00000000">
        <w:rPr>
          <w:rtl w:val="0"/>
        </w:rPr>
        <w:t xml:space="preserve">Hyland, K. (1998). </w:t>
      </w:r>
      <w:r w:rsidDel="00000000" w:rsidR="00000000" w:rsidRPr="00000000">
        <w:rPr>
          <w:i w:val="1"/>
          <w:iCs w:val="1"/>
          <w:rtl w:val="0"/>
        </w:rPr>
        <w:t xml:space="preserve">Hedging in scientific research articles</w:t>
      </w:r>
      <w:r w:rsidDel="00000000" w:rsidR="00000000" w:rsidRPr="00000000">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sidDel="00000000" w:rsidR="00000000" w:rsidRPr="00000000">
        <w:rPr>
          <w:rtl w:val="0"/>
        </w:rPr>
        <w:t xml:space="preserve">Hyland, K. (2005). Stance and engagement: A model of interaction in academic discourse. Discourse Studies, 7(2), 173-192. </w:t>
      </w:r>
      <w:hyperlink r:id="rId36">
        <w:r w:rsidDel="00000000" w:rsidR="00000000" w:rsidRPr="00000000">
          <w:rPr>
            <w:color w:val="1155cc"/>
            <w:u w:val="single"/>
            <w:rtl w:val="0"/>
          </w:rPr>
          <w:t xml:space="preserve">https://doi.org/10.1177/1461445605050365</w:t>
        </w:r>
      </w:hyperlink>
      <w:r w:rsidDel="00000000" w:rsidR="00000000" w:rsidRPr="00000000">
        <w:rPr>
          <w:rtl w:val="0"/>
        </w:rPr>
      </w:r>
    </w:p>
    <w:p w:rsidR="00000000" w:rsidDel="00000000" w:rsidP="00000000" w:rsidRDefault="00000000" w:rsidRPr="00000000" w14:paraId="000001C0">
      <w:pPr>
        <w:spacing w:after="0" w:before="0" w:line="480" w:lineRule="auto"/>
        <w:ind w:left="720" w:hanging="720"/>
        <w:jc w:val="both"/>
        <w:rPr/>
      </w:pPr>
      <w:r w:rsidDel="00000000" w:rsidR="00000000" w:rsidRPr="00000000">
        <w:rPr>
          <w:rtl w:val="0"/>
        </w:rPr>
        <w:t xml:space="preserve">Hyland, K., &amp; Milton, J. (1997). Qualification and certainty in L1 and L2 students’ writing. Journal of Second Language Writing, 6(2), 183-205. </w:t>
      </w:r>
      <w:hyperlink r:id="rId37">
        <w:r w:rsidDel="00000000" w:rsidR="00000000" w:rsidRPr="00000000">
          <w:rPr>
            <w:color w:val="1155cc"/>
            <w:u w:val="single"/>
            <w:rtl w:val="0"/>
          </w:rPr>
          <w:t xml:space="preserve">https://doi.org/10.1016/S1060-3743(97)90033-3</w:t>
        </w:r>
      </w:hyperlink>
      <w:r w:rsidDel="00000000" w:rsidR="00000000" w:rsidRPr="00000000">
        <w:rPr>
          <w:rtl w:val="0"/>
        </w:rPr>
      </w:r>
    </w:p>
    <w:p w:rsidR="00000000" w:rsidDel="00000000" w:rsidP="00000000" w:rsidRDefault="00000000" w:rsidRPr="00000000" w14:paraId="000001C1">
      <w:pPr>
        <w:spacing w:after="0" w:before="0" w:line="480" w:lineRule="auto"/>
        <w:ind w:left="720" w:hanging="720"/>
        <w:jc w:val="both"/>
        <w:rPr/>
      </w:pPr>
      <w:r w:rsidDel="00000000" w:rsidR="00000000" w:rsidRPr="00000000">
        <w:rPr>
          <w:rtl w:val="0"/>
        </w:rPr>
        <w:t xml:space="preserve">Imataki, N., &amp; Kobayashi, Y. (2024). Analyzing disciplinary variation in abstracts: Linguistic features across scientific and technical fields. Linguistics and Literature Studies, 12(3), 19-28. </w:t>
      </w:r>
      <w:hyperlink r:id="rId38">
        <w:r w:rsidDel="00000000" w:rsidR="00000000" w:rsidRPr="00000000">
          <w:rPr>
            <w:color w:val="1155cc"/>
            <w:u w:val="single"/>
            <w:rtl w:val="0"/>
          </w:rPr>
          <w:t xml:space="preserve">https://doi.org/10.13189/lls.2024.120301</w:t>
        </w:r>
      </w:hyperlink>
      <w:r w:rsidDel="00000000" w:rsidR="00000000" w:rsidRPr="00000000">
        <w:rPr>
          <w:rtl w:val="0"/>
        </w:rPr>
      </w:r>
    </w:p>
    <w:p w:rsidR="00000000" w:rsidDel="00000000" w:rsidP="00000000" w:rsidRDefault="00000000" w:rsidRPr="00000000" w14:paraId="000001C2">
      <w:pPr>
        <w:spacing w:after="0" w:before="0" w:line="480" w:lineRule="auto"/>
        <w:ind w:left="720" w:hanging="720"/>
        <w:jc w:val="both"/>
        <w:rPr/>
      </w:pPr>
      <w:r w:rsidDel="00000000" w:rsidR="00000000" w:rsidRPr="00000000">
        <w:rPr>
          <w:rtl w:val="0"/>
        </w:rPr>
        <w:t xml:space="preserve">Khunasathitchai, K., Sittironnarit, S., Sinturat, T., &amp; Kumdee, S. (2025). Move analysis and hedge use in the research paper abstracts of Thai EFL English-majored undergraduates. rEFLections, 32(2), 951-973. </w:t>
      </w:r>
      <w:hyperlink r:id="rId39">
        <w:r w:rsidDel="00000000" w:rsidR="00000000" w:rsidRPr="00000000">
          <w:rPr>
            <w:color w:val="1155cc"/>
            <w:u w:val="single"/>
            <w:rtl w:val="0"/>
          </w:rPr>
          <w:t xml:space="preserve">https://doi.org/10.61508/refl.v32i2.282512</w:t>
        </w:r>
      </w:hyperlink>
      <w:r w:rsidDel="00000000" w:rsidR="00000000" w:rsidRPr="00000000">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sidDel="00000000" w:rsidR="00000000" w:rsidRPr="00000000">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sidDel="00000000" w:rsidR="00000000" w:rsidRPr="00000000">
          <w:rPr>
            <w:color w:val="1155cc"/>
            <w:u w:val="single"/>
            <w:rtl w:val="0"/>
          </w:rPr>
          <w:t xml:space="preserve">https://doi.org/10.47772/IJRISS.2025.91100485</w:t>
        </w:r>
      </w:hyperlink>
      <w:r w:rsidDel="00000000" w:rsidR="00000000" w:rsidRPr="00000000">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sidDel="00000000" w:rsidR="00000000" w:rsidRPr="00000000">
        <w:rPr>
          <w:rtl w:val="0"/>
        </w:rPr>
        <w:t xml:space="preserve">Mazidah, E. N., Cahyani, W. I., &amp; Masruroh, L. (2022). Hedges and boosters in undergraduate thesis abstracts of Qomaruddin University students. Journal of Education, Humaniora and Social Sciences (JEHSS), 4(3), 1657-1663. </w:t>
      </w:r>
      <w:hyperlink r:id="rId42">
        <w:r w:rsidDel="00000000" w:rsidR="00000000" w:rsidRPr="00000000">
          <w:rPr>
            <w:color w:val="1155cc"/>
            <w:u w:val="single"/>
            <w:rtl w:val="0"/>
          </w:rPr>
          <w:t xml:space="preserve">https://doi.org/10.34007/jehss.v4i3.925</w:t>
        </w:r>
      </w:hyperlink>
      <w:r w:rsidDel="00000000" w:rsidR="00000000" w:rsidRPr="00000000">
        <w:rPr>
          <w:rtl w:val="0"/>
        </w:rPr>
      </w:r>
    </w:p>
    <w:p w:rsidR="00000000" w:rsidDel="00000000" w:rsidP="00000000" w:rsidRDefault="00000000" w:rsidRPr="00000000" w14:paraId="000001C6">
      <w:pPr>
        <w:spacing w:after="0" w:before="0" w:line="480" w:lineRule="auto"/>
        <w:ind w:left="720" w:hanging="720"/>
        <w:jc w:val="both"/>
        <w:rPr/>
      </w:pPr>
      <w:r w:rsidDel="00000000" w:rsidR="00000000" w:rsidRPr="00000000">
        <w:rPr>
          <w:rtl w:val="0"/>
        </w:rPr>
        <w:t xml:space="preserve">Mohammed, S. J. (2011). </w:t>
      </w:r>
      <w:r w:rsidDel="00000000" w:rsidR="00000000" w:rsidRPr="00000000">
        <w:rPr>
          <w:i w:val="1"/>
          <w:iCs w:val="1"/>
          <w:rtl w:val="0"/>
        </w:rPr>
        <w:t xml:space="preserve">Lexical hedges: A study of cultural and disciplinary variation in academic research articles</w:t>
      </w:r>
      <w:r w:rsidDel="00000000" w:rsidR="00000000" w:rsidRPr="00000000">
        <w:rPr>
          <w:rtl w:val="0"/>
        </w:rPr>
        <w:t xml:space="preserve"> [Master’s thesis, Universiti Teknologi MARA]. CORE. </w:t>
      </w:r>
      <w:hyperlink r:id="rId43">
        <w:r w:rsidDel="00000000" w:rsidR="00000000" w:rsidRPr="00000000">
          <w:rPr>
            <w:color w:val="1155cc"/>
            <w:u w:val="single"/>
            <w:rtl w:val="0"/>
          </w:rPr>
          <w:t xml:space="preserve">https://core.ac.uk/download/78277430.pdf</w:t>
        </w:r>
      </w:hyperlink>
      <w:r w:rsidDel="00000000" w:rsidR="00000000" w:rsidRPr="00000000">
        <w:rPr>
          <w:rtl w:val="0"/>
        </w:rPr>
      </w:r>
    </w:p>
    <w:p w:rsidR="00000000" w:rsidDel="00000000" w:rsidP="00000000" w:rsidRDefault="00000000" w:rsidRPr="00000000" w14:paraId="000001C7">
      <w:pPr>
        <w:spacing w:after="0" w:before="0" w:line="480" w:lineRule="auto"/>
        <w:ind w:left="720" w:hanging="720"/>
        <w:jc w:val="both"/>
        <w:rPr/>
      </w:pPr>
      <w:r w:rsidDel="00000000" w:rsidR="00000000" w:rsidRPr="00000000">
        <w:rPr>
          <w:rtl w:val="0"/>
        </w:rPr>
        <w:t xml:space="preserve">Ningrum, S., Puspita, H., &amp; Mulyadi, A. I. (2024). Hedges and boosters in academic writing of ASEAN EFL learners. Journal of English Education and Teaching, 8(1), 202-218. </w:t>
      </w:r>
      <w:hyperlink r:id="rId44">
        <w:r w:rsidDel="00000000" w:rsidR="00000000" w:rsidRPr="00000000">
          <w:rPr>
            <w:color w:val="1155cc"/>
            <w:u w:val="single"/>
            <w:rtl w:val="0"/>
          </w:rPr>
          <w:t xml:space="preserve">https://doi.org/10.33369/jeet.8.1.202-218</w:t>
        </w:r>
      </w:hyperlink>
      <w:r w:rsidDel="00000000" w:rsidR="00000000" w:rsidRPr="00000000">
        <w:rPr>
          <w:rtl w:val="0"/>
        </w:rPr>
      </w:r>
    </w:p>
    <w:p w:rsidR="00000000" w:rsidDel="00000000" w:rsidP="00000000" w:rsidRDefault="00000000" w:rsidRPr="00000000" w14:paraId="000001C8">
      <w:pPr>
        <w:spacing w:after="0" w:before="0" w:line="480" w:lineRule="auto"/>
        <w:ind w:left="720" w:hanging="720"/>
        <w:jc w:val="both"/>
        <w:rPr/>
      </w:pPr>
      <w:r w:rsidDel="00000000" w:rsidR="00000000" w:rsidRPr="00000000">
        <w:rPr>
          <w:rtl w:val="0"/>
        </w:rPr>
        <w:t xml:space="preserve">Petchkij, W. (2019). Explicit teaching of hedges: Bringing hedging in academic writing into the Thai EFL classroom. Electronic Journal of Foreign Language Teaching, 16(1), 95-113. </w:t>
      </w:r>
      <w:hyperlink r:id="rId45">
        <w:r w:rsidDel="00000000" w:rsidR="00000000" w:rsidRPr="00000000">
          <w:rPr>
            <w:color w:val="1155cc"/>
            <w:u w:val="single"/>
            <w:rtl w:val="0"/>
          </w:rPr>
          <w:t xml:space="preserve">https://e-flt.nus.edu.sg/wp-content/uploads/2020/09/petchkij.pdf</w:t>
        </w:r>
      </w:hyperlink>
      <w:r w:rsidDel="00000000" w:rsidR="00000000" w:rsidRPr="00000000">
        <w:rPr>
          <w:rtl w:val="0"/>
        </w:rPr>
      </w:r>
    </w:p>
    <w:p w:rsidR="00000000" w:rsidDel="00000000" w:rsidP="00000000" w:rsidRDefault="00000000" w:rsidRPr="00000000" w14:paraId="000001C9">
      <w:pPr>
        <w:spacing w:after="0" w:before="0" w:line="480" w:lineRule="auto"/>
        <w:ind w:left="720" w:hanging="720"/>
        <w:jc w:val="both"/>
        <w:rPr/>
      </w:pPr>
      <w:r w:rsidDel="00000000" w:rsidR="00000000" w:rsidRPr="00000000">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sidDel="00000000" w:rsidR="00000000" w:rsidRPr="00000000">
        <w:rPr>
          <w:rtl w:val="0"/>
        </w:rPr>
        <w:t xml:space="preserve">Salager-Meyer, F. (1994). Hedges and textual communicative function in medical English written discourse. English for Specific Purposes, 13(2), 149-170. </w:t>
      </w:r>
      <w:hyperlink r:id="rId46">
        <w:r w:rsidDel="00000000" w:rsidR="00000000" w:rsidRPr="00000000">
          <w:rPr>
            <w:color w:val="1155cc"/>
            <w:u w:val="single"/>
            <w:rtl w:val="0"/>
          </w:rPr>
          <w:t xml:space="preserve">https://doi.org/10.1016/0889-4906(94)90013-2</w:t>
        </w:r>
      </w:hyperlink>
      <w:r w:rsidDel="00000000" w:rsidR="00000000" w:rsidRPr="00000000">
        <w:rPr>
          <w:rtl w:val="0"/>
        </w:rPr>
      </w:r>
    </w:p>
    <w:p w:rsidR="00000000" w:rsidDel="00000000" w:rsidP="00000000" w:rsidRDefault="00000000" w:rsidRPr="00000000" w14:paraId="000001CB">
      <w:pPr>
        <w:spacing w:after="0" w:before="0" w:line="480" w:lineRule="auto"/>
        <w:ind w:left="720" w:hanging="720"/>
        <w:jc w:val="both"/>
        <w:rPr/>
      </w:pPr>
      <w:r w:rsidDel="00000000" w:rsidR="00000000" w:rsidRPr="00000000">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sidDel="00000000" w:rsidR="00000000" w:rsidRPr="00000000">
        <w:rPr>
          <w:rtl w:val="0"/>
        </w:rPr>
        <w:t xml:space="preserve">Souici, F., &amp; Slougui, D. (2022). Hedges in biology research articles: What types and frequency do Algerian authors use? Journal of Human Sciences, 33(4), 49-59. </w:t>
      </w:r>
      <w:hyperlink r:id="rId47">
        <w:r w:rsidDel="00000000" w:rsidR="00000000" w:rsidRPr="00000000">
          <w:rPr>
            <w:color w:val="1155cc"/>
            <w:u w:val="single"/>
            <w:rtl w:val="0"/>
          </w:rPr>
          <w:t xml:space="preserve">https://revue.umc.edu.dz/h/article/view/4015</w:t>
        </w:r>
      </w:hyperlink>
      <w:r w:rsidDel="00000000" w:rsidR="00000000" w:rsidRPr="00000000">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sidDel="00000000" w:rsidR="00000000" w:rsidRPr="00000000">
        <w:rPr>
          <w:rtl w:val="0"/>
        </w:rPr>
        <w:t xml:space="preserve">Suratno, A., &amp; Aydawati, E. N. (2025). Hedging strategies in non-science theses: A corpus-based analysis of discussion sections. ETERNAL (English Teaching Journal), 16(1), 37-52. </w:t>
      </w:r>
      <w:hyperlink r:id="rId48">
        <w:r w:rsidDel="00000000" w:rsidR="00000000" w:rsidRPr="00000000">
          <w:rPr>
            <w:color w:val="1155cc"/>
            <w:u w:val="single"/>
            <w:rtl w:val="0"/>
          </w:rPr>
          <w:t xml:space="preserve">https://journal2.upgris.ac.id/index.php/eternal/article/view/1059</w:t>
        </w:r>
      </w:hyperlink>
      <w:r w:rsidDel="00000000" w:rsidR="00000000" w:rsidRPr="00000000">
        <w:rPr>
          <w:rtl w:val="0"/>
        </w:rPr>
      </w:r>
    </w:p>
    <w:p w:rsidR="00000000" w:rsidDel="00000000" w:rsidP="00000000" w:rsidRDefault="00000000" w:rsidRPr="00000000" w14:paraId="000001CE">
      <w:pPr>
        <w:spacing w:after="0" w:before="0" w:line="480" w:lineRule="auto"/>
        <w:ind w:left="720" w:hanging="720"/>
        <w:jc w:val="both"/>
        <w:rPr/>
      </w:pPr>
      <w:r w:rsidDel="00000000" w:rsidR="00000000" w:rsidRPr="00000000">
        <w:rPr>
          <w:rtl w:val="0"/>
        </w:rPr>
        <w:t xml:space="preserve">Villanueva, V. S. (2014). Hedging devices in Philippine newspaper editorials. Asian Journal of English Language Studies, 2, 103-117. </w:t>
      </w:r>
      <w:hyperlink r:id="rId49">
        <w:r w:rsidDel="00000000" w:rsidR="00000000" w:rsidRPr="00000000">
          <w:rPr>
            <w:color w:val="1155cc"/>
            <w:u w:val="single"/>
            <w:rtl w:val="0"/>
          </w:rPr>
          <w:t xml:space="preserve">https://doi.org/10.59960/2.a5</w:t>
        </w:r>
      </w:hyperlink>
      <w:r w:rsidDel="00000000" w:rsidR="00000000" w:rsidRPr="00000000">
        <w:rPr>
          <w:rtl w:val="0"/>
        </w:rPr>
      </w:r>
    </w:p>
    <w:p w:rsidR="00000000" w:rsidDel="00000000" w:rsidP="00000000" w:rsidRDefault="00000000" w:rsidRPr="00000000" w14:paraId="000001CF">
      <w:pPr>
        <w:spacing w:after="0" w:before="0" w:line="480" w:lineRule="auto"/>
        <w:ind w:left="720" w:hanging="720"/>
        <w:jc w:val="both"/>
        <w:rPr/>
      </w:pPr>
      <w:r w:rsidDel="00000000" w:rsidR="00000000" w:rsidRPr="00000000">
        <w:rPr>
          <w:rtl w:val="0"/>
        </w:rPr>
        <w:t xml:space="preserve">Wang, X. (2022). </w:t>
      </w:r>
      <w:r w:rsidDel="00000000" w:rsidR="00000000" w:rsidRPr="00000000">
        <w:rPr>
          <w:i w:val="1"/>
          <w:iCs w:val="1"/>
          <w:rtl w:val="0"/>
        </w:rPr>
        <w:t xml:space="preserve">Hedging in academic writing: Cross-disciplinary comparisons in the Michigan Corpus of Upper-Level Student Papers (MICUSP)</w:t>
      </w:r>
      <w:r w:rsidDel="00000000" w:rsidR="00000000" w:rsidRPr="00000000">
        <w:rPr>
          <w:rtl w:val="0"/>
        </w:rPr>
        <w:t xml:space="preserve"> [Preprint]. OSF Preprints. </w:t>
      </w:r>
      <w:hyperlink r:id="rId50">
        <w:r w:rsidDel="00000000" w:rsidR="00000000" w:rsidRPr="00000000">
          <w:rPr>
            <w:color w:val="1155cc"/>
            <w:u w:val="single"/>
            <w:rtl w:val="0"/>
          </w:rPr>
          <w:t xml:space="preserve">https://osf.io/preprints/edarxiv/5xj27</w:t>
        </w:r>
      </w:hyperlink>
      <w:r w:rsidDel="00000000" w:rsidR="00000000" w:rsidRPr="00000000">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sidDel="00000000" w:rsidR="00000000" w:rsidRPr="00000000">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