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Sub-program (Crop vs Animal Science) counts are reported in the sampling table;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and the pilot comparison are reported in the Results chapter, not here.</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those resolutions were logged in the codebook and applied consistently thereafter.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(Acs1–Acs10, Aas1–Aas10,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Given the small sample size and zero-inflated distribution, this result is treated as exploratory rather than as confirmatory evidence of a disciplinary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IV: DISCIPLINE-SPECIFIC HEDGING PROFILES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Across the three disciplines, Veterinary Medicine’s lower hedge density is the most robust contrast in this corpus. The Agriculture–Biology difference is marginal and partly outlier-driven. The data cannot separate field norms, adviser practice, and outcome type as explanations. The defensible claim is that VM abstracts in this corpus hedge less; the cause remains unknown.</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Disciplinary differentiation is present but uneven. Veterinary Medicine’s lower density is the clearest contrast; Agriculture’s edge over Biology is modest and outlier-sensitive. The data cannot separate field norms, adviser practice, and outcome type. Statistical evidence is exploratory (Kruskal-Wallis p = .033)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