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i w:val="0"/>
          <w:iCs w:val="0"/>
          <w:sz w:val="22"/>
          <w:szCs w:val="22"/>
          <w:rtl w:val="0"/>
          <w:b/>
          <w:bCs/>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6 presents the function distribution.</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