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hAnsi="Georgia" w:cs="Georgia" w:eastAsia="Georgia"/>
          <w:b w:val="0"/>
          <w:bCs w:val="0"/>
          <w:sz w:val="22"/>
          <w:szCs w:val="22"/>
          <w:rtl w:val="0"/>
        </w:rPr>
        <w:t>Ability, future procedure, and necessity (must / should in procedural contexts) are never hedges. Stage 1: retain the device if removing it makes a knowledge claim more categorical or more direct. A knowledge claim is a statement about what is true, likely, possible, or found. Stage 1 does not apply to soft recommendations or obligations that tell the reader or a practitioner what to do (for example, farmers should apply the extract, or further research must be conducted). Those wordings can sound mild, but they manage advice or duty rather than how certain a finding is, and they are handled under exclusion codes such as FP-Rec.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hAnsi="Georgia" w:cs="Georgia" w:eastAsia="Georgia"/>
          <w:b w:val="0"/>
          <w:bCs w:val="0"/>
          <w:i w:val="0"/>
          <w:iCs w:val="0"/>
          <w:sz w:val="22"/>
          <w:szCs w:val="22"/>
          <w:rtl w:val="0"/>
        </w:rPr>
        <w:t>Function labels (EC, P, DO) are applied after Stage 1 retention. Stage 1 asks whether removing the expression makes a knowledge claim more categorical or more direct. It targets how a finding or interpretation is stated, not soft commands, advice, or recommendations that tell someone what should be done.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