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5 illustrates the two subtypes with excerpts from the coded corpus.</w:t>
      </w:r>
    </w:p>
    <w:p>
      <w:pPr>
        <w:spacing w:line="480" w:lineRule="auto"/>
        <w:ind w:firstLine="0"/>
        <w:jc w:val="center"/>
      </w:pPr>
      <w:r>
        <w:rPr>
          <w:b/>
          <w:sz w:val="22"/>
        </w:rPr>
        <w:t>Table 5</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6 reports the Step 2 outcomes for the candidate pool. Of the retained hedges, all 65 were coded as epistemic caution. Politeness/deference is null (0). False positives totaled 65. Those 65 failed the claim condition or both removal checks. The functional profile of this corpus is therefore uniform on the retained side: when a token counts as a hedge,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6</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No retained hedge was independently labeled politeness/deference. Under the Step 2 rule, only tokens attached to claims that pass the claim condition and at least one removal check enter the retained set. Recommendations and other non-claims are logged as false positives and never reach a politeness/deference label under this scheme. Fifteen recommendation-framed tokens sit in that false-positive pool. A wider definition of interpersonal softening could treat some of them differently. The zero count here is the outcome of the epistemic definition adopted for this study, not a claim that abstracts never soften directives in any linguistic sense. An all–epistemic-caution profile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Forms such as potential and the suggest family typically qualify applications or interpretations. Results sentences in the same abstracts more often use factive reporting verbs without qualification. Table 7 shows how the same surface forms are kept or rejected once the claim condition and removal checks are applied. Table 8 then samples retained hedges across the three programs.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spacing w:line="480" w:lineRule="auto"/>
        <w:ind w:firstLine="0"/>
        <w:jc w:val="center"/>
      </w:pPr>
      <w:r>
        <w:rPr>
          <w:b/>
          <w:sz w:val="22"/>
        </w:rPr>
        <w:t>Table 7</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7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8</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reads the density and function findings against outcome type and program contrast. The discussion draws on Salager-Meyer’s (1994) claim-responsibility framework and Hyland’s (2005) stance model. Table 9 classifies how each abstract reports its main results. Table 10 samples how the programs word caution in concrete excerpts.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9</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covers presence/absence or clear yes/no outcomes. Continuous covers graded quantities. Mixed combines both. Null/NS marks non-significant or null findings. Other covers residual formats. Table 9 shows that outcome mix alone does not line up neatly with the density ranking: Veterinary Medicine is not simply a binary-only set, and Biology is not simply continuous-only.</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An informal reading of the tokens still suggests that hedges cluster in implication and conclusion sentences more than in direct results reporting. That pattern is strongest in Agriculture and weakest in Veterinary Medicine. A formal move analysis would be needed to quantify it. Under Salager-Meyer’s (1994) account, writers who hedge implications take partial distance from conclusions that go beyond the measured finding. Veterinary Medicine’s lower density is readable as thinner explicit softening where abstracts turn from results to implications. Unhedged claims were 6 in Agriculture, 4 in Biology, and 4 in Veterinary Medicine (Table 4), so the VM subset does not show more overclaiming on that inventory. Hyland’s (2005) stance model fits the density reading: fewer hedges mean less explicit softening of authorial commitment in the ratified text.</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Outcome type does not remove the Biology–Veterinary Medicine gap. When results are reported as presence/absence findings, VM abstracts still use fewer epistemic softeners than Biology abstracts of the same broad outcome class. That is consistent with programs managing claim responsibility differently, not with a rule that binary evidence needs no hedge. Acs2 illustrates the opposite pole inside Agriculture: after non-significance, residual benefits are still hedged, which redistributes responsibility for a softened positive reading. Table 10 places concrete excerpts beside one another so the contrast is visible in the wording, not only in the counts.</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Among these three programs, the descriptive density contrast that stands out is Biology versus Veterinary Medicine. What differs is how these ratified abstracts use English to mark caution around findings and implications: more sustained epistemic softening in the Biology subset, thinner softening in the Veterinary Medicine subset, under overlapping outcome styles.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to hedge. A move-structured count of the VM subset would test that. Second, advisers may filter interpersonal softening out of final abstracts, which would help explain the all–epistemic-caution profile.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pPr>
        <w:spacing w:line="480" w:lineRule="auto"/>
        <w:ind w:firstLine="0"/>
        <w:jc w:val="center"/>
      </w:pPr>
      <w:r>
        <w:rPr>
          <w:i/>
          <w:sz w:val="22"/>
        </w:rPr>
        <w:t>Program Contrast: Sample Excerpts</w:t>
      </w:r>
    </w:p>
    <w:p>
      <w:pPr>
        <w:spacing w:line="480" w:lineRule="auto"/>
        <w:ind w:firstLine="0"/>
        <w:jc w:val="center"/>
      </w:pPr>
      <w:r>
        <w:rPr>
          <w:b/>
          <w:sz w:val="22"/>
        </w:rPr>
        <w:t>Table 10</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