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so the cross-tab does not differentiate functions; RQ4 is answered from frequency and functional patterns as a whole, not from type-by-function variation.</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hedge tokens in the corpus served the function of Epistemic Caution (EC). No instances of Politeness/Deference (P) or Discourse Organization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w:t>
            </w:r>
            <w:r>
              <w:rPr>
                <w:rFonts w:ascii="Georgia" w:cs="Georgia" w:eastAsia="Georgia" w:hAnsi="Georgia"/>
                <w:b w:val="0"/>
                <w:bCs w:val="0"/>
                <w:i w:val="0"/>
                <w:iCs w:val="0"/>
                <w:sz w:val="18"/>
                <w:szCs w:val="18"/>
                <w:rtl w:val="0"/>
                <w:color w:val="00B0F0"/>
              </w:rPr>
              <w:t xml:space="preserve">(DO)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