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288" w:hanging="288"/>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8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288" w:hanging="288"/>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288" w:hanging="288"/>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288" w:hanging="288"/>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288" w:hanging="288"/>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288" w:hanging="288"/>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8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288" w:hanging="288"/>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6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00" w:after="40" w:line="300" w:lineRule="auto"/>
        <w:jc w:val="left"/>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100" w:after="40" w:line="300" w:lineRule="auto"/>
        <w:jc w:val="left"/>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60" w:line="300" w:lineRule="auto"/>
        <w:ind w:left="360" w:hanging="360"/>
        <w:jc w:val="both"/>
      </w:pPr>
      <w:r>
        <w:rPr>
          <w:rFonts w:ascii="Georgia" w:hAnsi="Georgia" w:cs="Georgia" w:eastAsia="Georgia"/>
          <w:sz w:val="20"/>
          <w:szCs w:val="20"/>
        </w:rPr>
        <w:t xml:space="preserve">• Coding scheme for the PSAU undergraduate thesis abstract corpus, adapted from Hyland (1998) as type instrument.</w:t>
      </w:r>
    </w:p>
    <w:p w:rsidR="00000000" w:rsidDel="00000000" w:rsidP="00000000" w:rsidRDefault="00000000" w:rsidRPr="00000000" w14:paraId="000001B8">
      <w:pPr>
        <w:spacing w:before="100" w:after="40" w:line="30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60" w:line="300" w:lineRule="auto"/>
        <w:ind w:left="360" w:hanging="360"/>
        <w:jc w:val="both"/>
      </w:pPr>
      <w:r>
        <w:rPr>
          <w:rFonts w:ascii="Georgia" w:hAnsi="Georgia" w:cs="Georgia" w:eastAsia="Georgia"/>
          <w:sz w:val="20"/>
          <w:szCs w:val="20"/>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00" w:lineRule="auto"/>
        <w:ind w:left="360" w:hanging="360"/>
        <w:jc w:val="both"/>
      </w:pPr>
      <w:r>
        <w:rPr>
          <w:rFonts w:ascii="Georgia" w:hAnsi="Georgia" w:cs="Georgia" w:eastAsia="Georgia"/>
          <w:sz w:val="20"/>
          <w:szCs w:val="2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00" w:lineRule="auto"/>
        <w:ind w:left="360" w:hanging="360"/>
        <w:jc w:val="both"/>
      </w:pPr>
      <w:r>
        <w:rPr>
          <w:rFonts w:ascii="Georgia" w:hAnsi="Georgia" w:cs="Georgia" w:eastAsia="Georgia"/>
          <w:sz w:val="20"/>
          <w:szCs w:val="20"/>
        </w:rPr>
        <w:t xml:space="preserve">• Step 3 (type). On retained P and EC tokens only, assign grammatical type (modal, lexical, adverbial, clause-level).</w:t>
      </w:r>
    </w:p>
    <w:p w:rsidR="00000000" w:rsidDel="00000000" w:rsidP="00000000" w:rsidRDefault="00000000" w:rsidRPr="00000000" w14:paraId="000001BC">
      <w:pPr>
        <w:spacing w:before="0" w:after="60" w:line="300" w:lineRule="auto"/>
        <w:ind w:left="360" w:hanging="360"/>
        <w:jc w:val="both"/>
      </w:pPr>
      <w:r>
        <w:rPr>
          <w:rFonts w:ascii="Georgia" w:hAnsi="Georgia" w:cs="Georgia" w:eastAsia="Georgia"/>
          <w:sz w:val="20"/>
          <w:szCs w:val="2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100" w:after="40" w:line="300" w:lineRule="auto"/>
        <w:jc w:val="left"/>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FP-Cap: “PCR can detect low concentrations.” can = capability, not uncertainty about a finding.</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00" w:lineRule="auto"/>
        <w:ind w:left="360" w:hanging="360"/>
        <w:jc w:val="both"/>
      </w:pPr>
      <w:r>
        <w:rPr>
          <w:rFonts w:ascii="Georgia" w:hAnsi="Georgia" w:cs="Georgia" w:eastAsia="Georgia"/>
          <w:sz w:val="20"/>
          <w:szCs w:val="2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100" w:after="40" w:line="30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60" w:line="300" w:lineRule="auto"/>
        <w:ind w:left="360"/>
        <w:jc w:val="both"/>
      </w:pPr>
      <w:r>
        <w:rPr>
          <w:rFonts w:ascii="Georgia" w:cs="Georgia" w:eastAsia="Georgia" w:hAnsi="Georgia"/>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160" w:after="60" w:line="300" w:lineRule="auto"/>
        <w:ind w:left="360"/>
        <w:jc w:val="both"/>
      </w:pPr>
      <w:r>
        <w:rPr>
          <w:rFonts w:ascii="Georgia" w:hAnsi="Georgia" w:cs="Georgia" w:eastAsia="Georgia"/>
          <w:bCs w:val="0"/>
          <w:i w:val="1"/>
          <w:iCs w:val="1"/>
          <w:color w:val="000000"/>
          <w:sz w:val="20"/>
          <w:szCs w:val="20"/>
          <w:rtl w:val="0"/>
        </w:rPr>
        <w:t>Exclusions (capability, recommendation, procedural norm, location) are in the Decision Rules table.</w:t>
      </w:r>
      <w:r>
        <w:rPr>
          <w:rFonts w:ascii="Georgia" w:cs="Georgia" w:eastAsia="Georgia" w:hAnsi="Georgia"/>
          <w:bCs w:val="1"/>
          <w:i w:val="1"/>
          <w:iCs w:val="1"/>
          <w:color w:val="000000"/>
          <w:sz w:val="20"/>
          <w:szCs w:val="20"/>
          <w:rtl w:val="0"/>
        </w:rPr>
      </w:r>
      <w:r>
        <w:rPr>
          <w:rFonts w:ascii="Georgia" w:cs="Georgia" w:eastAsia="Georgia" w:hAnsi="Georgia"/>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60" w:line="300" w:lineRule="auto"/>
        <w:ind w:left="360" w:hanging="360"/>
        <w:jc w:val="both"/>
      </w:pPr>
      <w:r>
        <w:rPr>
          <w:rFonts w:ascii="Georgia" w:hAnsi="Georgia" w:cs="Georgia" w:eastAsia="Georgia"/>
          <w:sz w:val="20"/>
          <w:szCs w:val="20"/>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100" w:after="40" w:line="30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keepNext/>
        <w:spacing w:before="160" w:after="40" w:line="300" w:lineRule="auto"/>
        <w:jc w:val="left"/>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60" w:line="300" w:lineRule="auto"/>
        <w:ind w:left="360"/>
        <w:jc w:val="both"/>
      </w:pPr>
      <w:r>
        <w:rPr>
          <w:rFonts w:ascii="Georgia" w:cs="Georgia" w:eastAsia="Georgia" w:hAnsi="Georgia"/>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160" w:after="60" w:line="300" w:lineRule="auto"/>
        <w:ind w:left="360"/>
        <w:jc w:val="both"/>
      </w:pPr>
      <w:r>
        <w:rPr>
          <w:rFonts w:ascii="Georgia" w:cs="Georgia" w:eastAsia="Georgia" w:hAnsi="Georgia"/>
          <w:bCs w:val="1"/>
          <w:i w:val="1"/>
          <w:iCs w:val="1"/>
          <w:color w:val="000000"/>
          <w:sz w:val="20"/>
          <w:szCs w:val="20"/>
          <w:rtl w:val="0"/>
        </w:rPr>
        <w:t xml:space="preserve">General exclusions: </w:t>
      </w:r>
      <w:r>
        <w:rPr>
          <w:rFonts w:ascii="Georgia" w:cs="Georgia" w:eastAsia="Georgia" w:hAnsi="Georgia"/>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60" w:line="300" w:lineRule="auto"/>
        <w:ind w:left="360"/>
        <w:jc w:val="both"/>
      </w:pPr>
      <w:r>
        <w:rPr>
          <w:rFonts w:ascii="Georgia" w:cs="Georgia" w:eastAsia="Georgia" w:hAnsi="Georgia"/>
          <w:bCs w:val="0"/>
          <w:i w:val="1"/>
          <w:iCs w:val="1"/>
          <w:color w:val="000000"/>
          <w:sz w:val="20"/>
          <w:szCs w:val="20"/>
          <w:rtl w:val="0"/>
        </w:rPr>
        <w:t xml:space="preserve">Quick test for </w:t>
      </w:r>
      <w:r>
        <w:rPr>
          <w:rFonts w:ascii="Georgia" w:cs="Georgia" w:eastAsia="Georgia" w:hAnsi="Georgia"/>
          <w:bCs w:val="1"/>
          <w:i w:val="1"/>
          <w:iCs w:val="1"/>
          <w:color w:val="000000"/>
          <w:sz w:val="20"/>
          <w:szCs w:val="20"/>
          <w:rtl w:val="0"/>
        </w:rPr>
        <w:t xml:space="preserve">suggest/indicate</w:t>
      </w:r>
      <w:r>
        <w:rPr>
          <w:rFonts w:ascii="Georgia" w:cs="Georgia" w:eastAsia="Georgia" w:hAnsi="Georgia"/>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keepNext/>
        <w:spacing w:before="100" w:after="40" w:line="300" w:lineRule="auto"/>
        <w:jc w:val="left"/>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60" w:line="300" w:lineRule="auto"/>
        <w:ind w:left="360"/>
        <w:jc w:val="both"/>
      </w:pPr>
      <w:r>
        <w:rPr>
          <w:rFonts w:ascii="Georgia" w:cs="Georgia" w:eastAsia="Georgia" w:hAnsi="Georgia"/>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spacing w:before="160" w:after="40" w:line="30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Grey-highlight the main assertive verb; place [G] or [C] beside it (same placement as (EC) on hedges).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Mark only claims where caution was warranted but absent.</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[G] = generalization or evaluative ranking beyond the data.</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[C] = cause–effect or impact stronger than the design supports.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Do not mark bare trial results, measured findings, or procedural statements.</w:t>
      </w:r>
    </w:p>
    <w:p w:rsidR="00000000" w:rsidDel="00000000" w:rsidP="00000000" w:rsidRDefault="00000000" w:rsidRPr="00000000" w14:paraId="00000221">
      <w:pPr>
        <w:spacing w:before="0" w:after="60" w:line="300" w:lineRule="auto"/>
        <w:ind w:left="360" w:hanging="360"/>
        <w:jc w:val="both"/>
      </w:pPr>
      <w:r>
        <w:rPr>
          <w:rFonts w:ascii="Georgia" w:hAnsi="Georgia" w:cs="Georgia" w:eastAsia="Georgia"/>
          <w:sz w:val="20"/>
          <w:szCs w:val="2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keepNext/>
        <w:spacing w:before="160" w:after="40" w:line="30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160" w:after="60" w:line="300" w:lineRule="auto"/>
        <w:ind w:left="360" w:hanging="360"/>
        <w:jc w:val="both"/>
      </w:pPr>
      <w:r>
        <w:rPr>
          <w:rFonts w:ascii="Georgia" w:hAnsi="Georgia" w:cs="Georgia" w:eastAsia="Georgia"/>
          <w:sz w:val="20"/>
          <w:szCs w:val="20"/>
        </w:rPr>
        <w:t xml:space="preserve">• Highlighted abstract = primary record. Spreadsheet = tallying and analysis only.</w:t>
      </w:r>
    </w:p>
    <w:p w:rsidR="00000000" w:rsidDel="00000000" w:rsidP="00000000" w:rsidRDefault="00000000" w:rsidRPr="00000000" w14:paraId="0000025A">
      <w:pPr>
        <w:spacing w:before="0" w:after="60" w:line="300" w:lineRule="auto"/>
        <w:ind w:left="360" w:hanging="360"/>
        <w:jc w:val="both"/>
      </w:pPr>
      <w:r>
        <w:rPr>
          <w:rFonts w:ascii="Georgia" w:hAnsi="Georgia" w:cs="Georgia" w:eastAsia="Georgia"/>
          <w:sz w:val="20"/>
          <w:szCs w:val="20"/>
        </w:rPr>
        <w:t xml:space="preserve">• Codes: Acs1–Acs10, Aas1–Aas10 (Agriculture). VM1–VM20. B1–B20 (Biology).</w:t>
      </w:r>
    </w:p>
    <w:p w:rsidR="00000000" w:rsidDel="00000000" w:rsidP="00000000" w:rsidRDefault="00000000" w:rsidRPr="00000000" w14:paraId="0000025D">
      <w:pPr>
        <w:spacing w:before="0" w:after="60" w:line="300" w:lineRule="auto"/>
        <w:ind w:left="360" w:hanging="360"/>
        <w:jc w:val="both"/>
      </w:pPr>
      <w:r>
        <w:rPr>
          <w:rFonts w:ascii="Georgia" w:hAnsi="Georgia" w:cs="Georgia" w:eastAsia="Georgia"/>
          <w:sz w:val="20"/>
          <w:szCs w:val="20"/>
        </w:rPr>
        <w:t xml:space="preserve">• Unhedged rows separate from hedge tallies. [G]/[C] only for warranted-but-absent caution.</w:t>
      </w:r>
    </w:p>
    <w:p w:rsidR="00000000" w:rsidDel="00000000" w:rsidP="00000000" w:rsidRDefault="00000000" w:rsidRPr="00000000" w14:paraId="0000026C">
      <w:pPr>
        <w:spacing w:before="0" w:after="60" w:line="300" w:lineRule="auto"/>
        <w:ind w:left="360" w:hanging="360"/>
        <w:jc w:val="both"/>
      </w:pPr>
      <w:r>
        <w:rPr>
          <w:rFonts w:ascii="Georgia" w:hAnsi="Georgia" w:cs="Georgia" w:eastAsia="Georgia"/>
          <w:sz w:val="20"/>
          <w:szCs w:val="20"/>
        </w:rPr>
        <w:t xml:space="preserve">• Optional Rejected Candidates tab for FP traceability.</w:t>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