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coded hedges were Epistemic Caution under the Working Test, so the cross-tab does not differentiate functions. RQ3 is therefore answered as a finding about the adapted scheme (what the screen retains and how it is classified), not as an open survey of rhetorical functions independent of the identification procedure. RQ4 is answered from frequency and functional patterns as a whole.</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For writing instructors and thesis advisers at PSAU, the study provides an empirical baseline of how uncertainty is managed in the ratified abstracts of three applied life sciences programs. That baseline can support more targeted feedback than generic advice to “be cautious.”</w:t>
      </w:r>
      <w:r>
        <w:rPr>
          <w:b w:val="0"/>
          <w:bCs w:val="0"/>
          <w:rtl w:val="0"/>
        </w:rPr>
        <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Table 1 reports sub-program sample sizes (Crop Science n=10, Animal Science n=10), not hedge counts. No separate inferential comparison between sub-programs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This sample size is consistent with comparable corpus-assisted discourse studies at the undergraduate level. Khunasathitchai et al. (2025) analyzed 60 abstracts. Wang (2022) examined a much larger multi-field student corpus (829 papers across 16 fields); the present study does not claim comparable scale or design.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sample and the likelihood of zero inflation. Frequency results are reported in the Results chapter.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(8 hedges) uses a repeated frame twice with light variation. The content of that frame is consequential: the writer reports that statistical significance was not observed, then hedges that the treatment could still offer potential benefits. That is hedging used to soften or rescue a null result—the overclaiming risk this study's introduction identifies—not merely density inflation. Acs2 is retained in all counts; sensitivity checks that exclude it are reported separately where the Agriculture–Biology ranking is discussed.</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center"/>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center"/>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included “suggests” (7), “suggest” (3), “suggesting”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for 4.</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51.9% vs. 13 lexical hedges, 48.1%), while Biology is heavily lexical (20 of 28 hedges, 71.4%, with only 5 modal verbs). Veterinary Medicine, with only 10 total hedges, is also predominantly lexical (8 of 10, 80.0%).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4’s L3 column reports the corpus-wide total of 37.) These sites represent clauses where a hedge could have been inserted without changing the underlying facts, but no hedge was used.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 xml:space="preserve">L3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4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counts yielded H ≈ 6.84, p = .033. Kruskal-Wallis assumes independent observations; abstracts within a program may be clustered by adviser, so discipline is partly confounded with adviser pool. Within-discipline spread (0–8 hedges per abstract) is also larger than the gaps between discipline means. Given the small sample, zero-inflation, possible clustering, and no multiple-comparison correction, this result is treated as exploratory rather than as confirmatory evidence of a field-level difference. With only 65 tokens across three groups and no correction for multiple tests, the p-values are fragile. A sensitivity check that removes all 19 instances of "potential" leaves 46 hedges; the Kruskal-Wallis contrast remains in the same direction, and Veterinary Medicine’s zero-hedge share rises further. The directional pattern is therefore not an artifact of the "potential" tokens alone.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Many VM abstracts in this corpus reported clinical findings from animal studies (e.g., drug efficacy trials, disease detection, hematological profiling). Outcome-type coding across the full corpus (Part IV; the coding spreadsheet) does not support explaining that low density by binary outcomes alone: Biology abstracts with binary results still hedge more than VM binary abstracts. The low rate is better treated as a VM pattern in this institutional corpus—consistent with departmental or supervisory practice, outcome mix, or both—rather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Under the Working Test, only tokens that produced an epistemic effect were retained as hedges. As a direct consequence of that screen, all 65 retained tokens were coded Epistemic Caution (EC). No instances of Politeness/Deference (P) or Discourse Organization (DO) were identified among coded hedges. Discourse connectors such as Hence, Thus, Therefore, and In conclusion appear in the corpus and are tagged (DO) in Appendix C; they organize research moves but do not qualify claims, so they are not counted as hedges. No politeness/deference devices were found. Table 5 presents the function distribution among tokens coded as hedges.</w:t>
      </w:r>
      <w:r>
        <w:rPr>
          <w:rFonts w:ascii="Georgia" w:cs="Georgia" w:eastAsia="Georgia" w:hAnsi="Georgia"/>
          <w:b w:val="0"/>
          <w:bCs w:val="0"/>
          <w:i w:val="0"/>
          <w:iCs w:val="0"/>
          <w:sz w:val="22"/>
          <w:szCs w:val="22"/>
          <w:rtl w:val="0"/>
          <w:color w:val="00B0F0"/>
        </w:rPr>
        <w:t/>
      </w:r>
      <w:r>
        <w:rPr>
          <w:rFonts w:ascii="Georgia" w:cs="Georgia" w:eastAsia="Georgia" w:hAnsi="Georgia"/>
          <w:b w:val="0"/>
          <w:bCs w:val="0"/>
          <w:i w:val="0"/>
          <w:iCs w:val="0"/>
          <w:sz w:val="22"/>
          <w:szCs w:val="22"/>
          <w:rtl w:val="0"/>
        </w:rPr>
        <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That uniformity is partly built into the Working Test, which screens for epistemic effect; the data therefore cannot strongly support a claim about how writers “view” hedging, only that the retained tokens functioned epistemically under this scheme.</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Parts I through III show three observable patterns in the ratified abstracts in this corpus. As reported in Part II, an exploratory Kruskal-Wallis test reached p = .033; the chi-square on zero-hedge rates was p = .079,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Outcome type was coded for all 60 abstracts under five categories (Binary, Continuous, Mixed, Null/NS, Other; see the coding spreadsheet). Coding used the abstract's own results language: presence/absence or diagnostic positive/negative counts as Binary; explicit non-significance as Null/NS; means, yields, and rates as Continuous; combinations as Mixed.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 separate pattern in the same table is worth noting: Agriculture accounts for 14 of 20 Null/NS abstracts, against 2 of 20 in VM, and those Agriculture Null/NS texts average about 1.5 hedges. Acs2 illustrates how a non-significant finding can still attract hedges that keep possible benefits in view; one abstract cannot establish a rule. With small cells, both the VM reading and the Null/NS share remain suggestive.</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Under the Working Test, every retained hedge was coded as Epistemic Caution; the uniform function assignment is therefore partly a consequence of the identification screen.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Limited evidence of differentiation, mainly Veterinary Medicine. Agriculture’s edge over Biology is modest and outlier-sensitive. The data cannot separate field norms, adviser practice, and outcome type. Statistical evidence is exploratory (Kruskal-Wallis p = .033, no multiple-comparison correction) and the sample is small. The study provides a local baseline: VM abstracts in this corpus hedge less; the cause remains unknown.</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or rarely require it, that would align with a supervisory-practice account of the low VM density. Parallel work could also compare how often each discipline writes up non-significant findings, given Agriculture’s high Null/NS share in this corpus and the possibility that null write-ups invite different hedging choices.</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rEFLections, 32(2), 951–973.</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https://doi.org/10.61508/refl.v32i2.282512</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left"/>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Lines w:val="1"/>
        <w:pageBreakBefore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312"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312"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312"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312"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312"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312"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312"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312"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312"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312"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312"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312"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312"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60" w:after="0" w:line="312"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color w:val="000000"/>
        </w:rPr>
        <w:t xml:space="preserve"> that C. longa extracts are </w:t>
      </w:r>
      <w:r>
        <w:rPr>
          <w:highlight w:val="red"/>
          <w:color w:val="ffffff"/>
        </w:rPr>
        <w:t>potential</w:t>
      </w:r>
      <w:r>
        <w:rPr>
          <w:color w:val="000000"/>
        </w:rPr>
        <w:t xml:space="preserve"> </w:t>
      </w:r>
      <w:r>
        <w:rPr>
          <w:color w:val="ed7d31"/>
        </w:rPr>
        <w:t>(EC)</w:t>
      </w:r>
      <w:r>
        <w:rPr>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312"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312"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312"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312"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0" w:line="312"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312"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312"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0" w:line="312"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312"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312"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pPr>
        <w:spacing w:line="312" w:lineRule="auto"/>
      </w:pPr>
      <w:r>
        <w:br w:type="page"/>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