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2.xml" ContentType="application/vnd.openxmlformats-officedocument.wordprocessingml.footer+xml"/>
  <Override PartName="/word/header14.xml" ContentType="application/vnd.openxmlformats-officedocument.wordprocessingml.header+xml"/>
  <Override PartName="/word/header5.xml" ContentType="application/vnd.openxmlformats-officedocument.wordprocessingml.header+xml"/>
  <Override PartName="/word/fonts/font9.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10.odttf" ContentType="application/vnd.openxmlformats-officedocument.obfuscatedFont"/>
  <Override PartName="/word/fonts/font4.odttf" ContentType="application/vnd.openxmlformats-officedocument.obfuscatedFont"/>
  <Override PartName="/word/fonts/font7.odttf" ContentType="application/vnd.openxmlformats-officedocument.obfuscatedFont"/>
  <Override PartName="/word/fonts/font13.odttf" ContentType="application/vnd.openxmlformats-officedocument.obfuscatedFont"/>
  <Override PartName="/word/fonts/font11.odttf" ContentType="application/vnd.openxmlformats-officedocument.obfuscatedFont"/>
  <Override PartName="/word/fonts/font5.odttf" ContentType="application/vnd.openxmlformats-officedocument.obfuscatedFont"/>
  <Override PartName="/word/fonts/font8.odttf" ContentType="application/vnd.openxmlformats-officedocument.obfuscatedFont"/>
  <Override PartName="/word/fonts/font14.odttf" ContentType="application/vnd.openxmlformats-officedocument.obfuscatedFont"/>
  <Override PartName="/word/fonts/font12.odttf" ContentType="application/vnd.openxmlformats-officedocument.obfuscatedFont"/>
  <Override PartName="/word/fonts/font6.odttf" ContentType="application/vnd.openxmlformats-officedocument.obfuscatedFont"/>
  <Override PartName="/word/header1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footer17.xml" ContentType="application/vnd.openxmlformats-officedocument.wordprocessingml.footer+xml"/>
  <Override PartName="/word/header10.xml" ContentType="application/vnd.openxmlformats-officedocument.wordprocessingml.header+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before="0" w:after="0"/>
        <w:rPr/>
      </w:pPr>
      <w:r>
        <w:rPr/>
      </w:r>
    </w:p>
    <w:p>
      <w:pPr>
        <w:pStyle w:val="normal1"/>
        <w:spacing w:lineRule="auto" w:line="480" w:before="0" w:after="0"/>
        <w:rPr/>
      </w:pPr>
      <w:r>
        <w:rPr/>
      </w:r>
    </w:p>
    <w:p>
      <w:pPr>
        <w:pStyle w:val="normal1"/>
        <w:spacing w:lineRule="auto" w:line="480" w:before="0" w:after="0"/>
        <w:jc w:val="center"/>
        <w:rPr/>
      </w:pPr>
      <w:r>
        <w:rPr>
          <w:b/>
          <w:bCs/>
          <w:sz w:val="22"/>
          <w:szCs w:val="22"/>
        </w:rPr>
        <w:t>THE USE OF HEDGES IN RESEARCH ABSTRACTS</w:t>
      </w:r>
    </w:p>
    <w:p>
      <w:pPr>
        <w:pStyle w:val="normal1"/>
        <w:spacing w:lineRule="auto" w:line="480" w:before="0" w:after="0"/>
        <w:jc w:val="center"/>
        <w:rPr/>
      </w:pPr>
      <w:r>
        <w:rPr>
          <w:b/>
          <w:bCs/>
          <w:sz w:val="22"/>
          <w:szCs w:val="22"/>
        </w:rPr>
        <w:t>ACROSS APPLIED LIFE SCIENCES</w:t>
      </w:r>
    </w:p>
    <w:p>
      <w:pPr>
        <w:pStyle w:val="normal1"/>
        <w:spacing w:lineRule="auto" w:line="480" w:before="0" w:after="0"/>
        <w:jc w:val="center"/>
        <w:rPr/>
      </w:pPr>
      <w:r>
        <w:rPr/>
      </w:r>
    </w:p>
    <w:p>
      <w:pPr>
        <w:pStyle w:val="normal1"/>
        <w:spacing w:lineRule="auto" w:line="480" w:before="0" w:after="0"/>
        <w:jc w:val="center"/>
        <w:rPr/>
      </w:pPr>
      <w:r>
        <w:rPr/>
      </w:r>
    </w:p>
    <w:p>
      <w:pPr>
        <w:pStyle w:val="normal1"/>
        <w:spacing w:lineRule="auto" w:line="480" w:before="0" w:after="0"/>
        <w:jc w:val="center"/>
        <w:rPr/>
      </w:pPr>
      <w:r>
        <w:rPr>
          <w:sz w:val="22"/>
          <w:szCs w:val="22"/>
        </w:rPr>
        <w:t>A Thesis</w:t>
      </w:r>
    </w:p>
    <w:p>
      <w:pPr>
        <w:pStyle w:val="normal1"/>
        <w:spacing w:lineRule="auto" w:line="480" w:before="0" w:after="0"/>
        <w:jc w:val="center"/>
        <w:rPr/>
      </w:pPr>
      <w:r>
        <w:rPr>
          <w:sz w:val="22"/>
          <w:szCs w:val="22"/>
        </w:rPr>
        <w:t>Presented to the Faculty of</w:t>
      </w:r>
    </w:p>
    <w:p>
      <w:pPr>
        <w:pStyle w:val="normal1"/>
        <w:spacing w:lineRule="auto" w:line="480" w:before="0" w:after="0"/>
        <w:jc w:val="center"/>
        <w:rPr/>
      </w:pPr>
      <w:r>
        <w:rPr>
          <w:sz w:val="22"/>
          <w:szCs w:val="22"/>
        </w:rPr>
        <w:t>Department of English</w:t>
      </w:r>
    </w:p>
    <w:p>
      <w:pPr>
        <w:pStyle w:val="normal1"/>
        <w:spacing w:lineRule="auto" w:line="480" w:before="0" w:after="0"/>
        <w:jc w:val="center"/>
        <w:rPr/>
      </w:pPr>
      <w:r>
        <w:rPr>
          <w:sz w:val="22"/>
          <w:szCs w:val="22"/>
        </w:rPr>
        <w:t>College of Arts and Sciences</w:t>
      </w:r>
    </w:p>
    <w:p>
      <w:pPr>
        <w:pStyle w:val="normal1"/>
        <w:spacing w:lineRule="auto" w:line="480" w:before="0" w:after="0"/>
        <w:jc w:val="center"/>
        <w:rPr/>
      </w:pPr>
      <w:r>
        <w:rPr>
          <w:sz w:val="22"/>
          <w:szCs w:val="22"/>
        </w:rPr>
        <w:t>Pampanga State Agricultural University</w:t>
      </w:r>
    </w:p>
    <w:p>
      <w:pPr>
        <w:pStyle w:val="normal1"/>
        <w:spacing w:lineRule="auto" w:line="480" w:before="0" w:after="0"/>
        <w:jc w:val="center"/>
        <w:rPr/>
      </w:pPr>
      <w:r>
        <w:rPr>
          <w:sz w:val="22"/>
          <w:szCs w:val="22"/>
        </w:rPr>
        <w:t>Magalang, Pampanga</w:t>
      </w:r>
    </w:p>
    <w:p>
      <w:pPr>
        <w:pStyle w:val="normal1"/>
        <w:spacing w:lineRule="auto" w:line="480" w:before="0" w:after="0"/>
        <w:jc w:val="center"/>
        <w:rPr/>
      </w:pPr>
      <w:r>
        <w:rPr/>
      </w:r>
    </w:p>
    <w:p>
      <w:pPr>
        <w:pStyle w:val="normal1"/>
        <w:spacing w:lineRule="auto" w:line="480" w:before="0" w:after="0"/>
        <w:jc w:val="center"/>
        <w:rPr/>
      </w:pPr>
      <w:r>
        <w:rPr/>
      </w:r>
    </w:p>
    <w:p>
      <w:pPr>
        <w:pStyle w:val="normal1"/>
        <w:spacing w:lineRule="auto" w:line="480" w:before="0" w:after="0"/>
        <w:jc w:val="center"/>
        <w:rPr/>
      </w:pPr>
      <w:r>
        <w:rPr>
          <w:sz w:val="22"/>
          <w:szCs w:val="22"/>
        </w:rPr>
        <w:t>In Partial Fulfillment</w:t>
      </w:r>
    </w:p>
    <w:p>
      <w:pPr>
        <w:pStyle w:val="normal1"/>
        <w:spacing w:lineRule="auto" w:line="480" w:before="0" w:after="0"/>
        <w:jc w:val="center"/>
        <w:rPr/>
      </w:pPr>
      <w:r>
        <w:rPr>
          <w:sz w:val="22"/>
          <w:szCs w:val="22"/>
        </w:rPr>
        <w:t>of the Requirements for the Degree</w:t>
      </w:r>
    </w:p>
    <w:p>
      <w:pPr>
        <w:pStyle w:val="normal1"/>
        <w:spacing w:lineRule="auto" w:line="480" w:before="0" w:after="0"/>
        <w:jc w:val="center"/>
        <w:rPr/>
      </w:pPr>
      <w:r>
        <w:rPr>
          <w:sz w:val="22"/>
          <w:szCs w:val="22"/>
        </w:rPr>
        <w:t>BACHELOR OF ARTS IN ENGLISH LANGUAGE STUDIES</w:t>
      </w:r>
    </w:p>
    <w:p>
      <w:pPr>
        <w:pStyle w:val="normal1"/>
        <w:spacing w:lineRule="auto" w:line="480" w:before="0" w:after="0"/>
        <w:jc w:val="center"/>
        <w:rPr/>
      </w:pPr>
      <w:r>
        <w:rPr/>
      </w:r>
    </w:p>
    <w:p>
      <w:pPr>
        <w:pStyle w:val="normal1"/>
        <w:spacing w:lineRule="auto" w:line="480" w:before="0" w:after="0"/>
        <w:jc w:val="center"/>
        <w:rPr/>
      </w:pPr>
      <w:r>
        <w:rPr/>
      </w:r>
    </w:p>
    <w:p>
      <w:pPr>
        <w:pStyle w:val="normal1"/>
        <w:keepNext w:val="true"/>
        <w:spacing w:lineRule="auto" w:line="480" w:before="0" w:after="0"/>
        <w:jc w:val="center"/>
        <w:rPr/>
      </w:pPr>
      <w:r>
        <w:rPr>
          <w:sz w:val="22"/>
          <w:szCs w:val="22"/>
        </w:rPr>
        <w:t>By</w:t>
      </w:r>
    </w:p>
    <w:p>
      <w:pPr>
        <w:pStyle w:val="normal1"/>
        <w:keepNext w:val="true"/>
        <w:spacing w:lineRule="auto" w:line="480" w:before="0" w:after="0"/>
        <w:jc w:val="center"/>
        <w:rPr/>
      </w:pPr>
      <w:r>
        <w:rPr/>
      </w:r>
    </w:p>
    <w:p>
      <w:pPr>
        <w:pStyle w:val="normal1"/>
        <w:keepNext w:val="true"/>
        <w:spacing w:lineRule="auto" w:line="480" w:before="0" w:after="0"/>
        <w:jc w:val="center"/>
        <w:rPr/>
      </w:pPr>
      <w:r>
        <w:rPr/>
      </w:r>
    </w:p>
    <w:p>
      <w:pPr>
        <w:pStyle w:val="normal1"/>
        <w:keepNext w:val="true"/>
        <w:spacing w:lineRule="auto" w:line="480" w:before="0" w:after="0"/>
        <w:jc w:val="center"/>
        <w:rPr/>
      </w:pPr>
      <w:r>
        <w:rPr/>
      </w:r>
    </w:p>
    <w:p>
      <w:pPr>
        <w:pStyle w:val="normal1"/>
        <w:keepNext w:val="true"/>
        <w:spacing w:lineRule="auto" w:line="480" w:before="0" w:after="0"/>
        <w:jc w:val="center"/>
        <w:rPr/>
      </w:pPr>
      <w:r>
        <w:rPr/>
      </w:r>
    </w:p>
    <w:p>
      <w:pPr>
        <w:pStyle w:val="normal1"/>
        <w:keepNext w:val="true"/>
        <w:spacing w:lineRule="auto" w:line="480" w:before="0" w:after="0"/>
        <w:jc w:val="center"/>
        <w:rPr/>
      </w:pPr>
      <w:r>
        <w:rPr/>
      </w:r>
    </w:p>
    <w:p>
      <w:pPr>
        <w:pStyle w:val="normal1"/>
        <w:keepNext w:val="true"/>
        <w:spacing w:lineRule="auto" w:line="480" w:before="0" w:after="0"/>
        <w:jc w:val="center"/>
        <w:rPr/>
      </w:pPr>
      <w:r>
        <w:rPr/>
      </w:r>
    </w:p>
    <w:p>
      <w:pPr>
        <w:pStyle w:val="normal1"/>
        <w:keepNext w:val="true"/>
        <w:spacing w:lineRule="auto" w:line="480" w:before="0" w:after="0"/>
        <w:jc w:val="center"/>
        <w:rPr/>
      </w:pPr>
      <w:r>
        <w:rPr>
          <w:b/>
          <w:bCs/>
          <w:sz w:val="22"/>
          <w:szCs w:val="22"/>
        </w:rPr>
        <w:t>CHRYZ KEAN F. MANUEL</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2160" w:right="1440" w:gutter="0" w:header="720" w:top="1440" w:footer="720" w:bottom="1440"/>
          <w:pgNumType w:start="1" w:fmt="decimal"/>
          <w:formProt w:val="false"/>
          <w:textDirection w:val="lrTb"/>
          <w:docGrid w:type="default" w:linePitch="100" w:charSpace="4096"/>
        </w:sectPr>
        <w:pStyle w:val="normal1"/>
        <w:keepLines/>
        <w:spacing w:lineRule="auto" w:line="480" w:before="0" w:after="0"/>
        <w:jc w:val="center"/>
        <w:rPr/>
      </w:pPr>
      <w:r>
        <w:rPr>
          <w:sz w:val="22"/>
          <w:szCs w:val="22"/>
        </w:rPr>
        <w:t>October 2026</w:t>
      </w:r>
    </w:p>
    <w:p>
      <w:pPr>
        <w:pStyle w:val="normal1"/>
        <w:spacing w:lineRule="auto" w:line="480" w:before="720" w:after="240"/>
        <w:ind w:hanging="0"/>
        <w:jc w:val="center"/>
        <w:rPr/>
      </w:pPr>
      <w:r>
        <w:rPr>
          <w:b/>
          <w:bCs/>
          <w:sz w:val="28"/>
          <w:szCs w:val="28"/>
        </w:rPr>
        <w:t>INTRODUCTION</w:t>
      </w:r>
    </w:p>
    <w:p>
      <w:pPr>
        <w:pStyle w:val="normal1"/>
        <w:keepNext w:val="true"/>
        <w:spacing w:lineRule="auto" w:line="480" w:before="240" w:after="120"/>
        <w:ind w:hanging="0"/>
        <w:rPr>
          <w:b/>
          <w:bCs/>
          <w:sz w:val="24"/>
          <w:szCs w:val="24"/>
        </w:rPr>
      </w:pPr>
      <w:r>
        <w:rPr>
          <w:b/>
          <w:bCs/>
          <w:sz w:val="24"/>
          <w:szCs w:val="24"/>
        </w:rPr>
      </w:r>
    </w:p>
    <w:p>
      <w:pPr>
        <w:pStyle w:val="normal1"/>
        <w:keepNext w:val="true"/>
        <w:spacing w:lineRule="auto" w:line="480" w:before="240" w:after="120"/>
        <w:ind w:hanging="0"/>
        <w:rPr/>
      </w:pPr>
      <w:r>
        <w:rPr>
          <w:b/>
          <w:bCs/>
          <w:sz w:val="24"/>
          <w:szCs w:val="24"/>
        </w:rPr>
        <w:t>Background of the Study</w:t>
      </w:r>
    </w:p>
    <w:p>
      <w:pPr>
        <w:pStyle w:val="normal1"/>
        <w:spacing w:lineRule="auto" w:line="480" w:before="0" w:after="0"/>
        <w:ind w:firstLine="720"/>
        <w:jc w:val="both"/>
        <w:rPr/>
      </w:pPr>
      <w:r>
        <w:rPr>
          <w:sz w:val="22"/>
          <w:szCs w:val="22"/>
        </w:rPr>
        <w:t>Certainty, it seems, is one thing academic writers are certain they should avoid. Writing guides urge developing researchers to “</w:t>
      </w:r>
      <w:r>
        <w:rPr>
          <w:i/>
          <w:iCs/>
          <w:sz w:val="22"/>
          <w:szCs w:val="22"/>
        </w:rPr>
        <w:t>qualify your claims</w:t>
      </w:r>
      <w:r>
        <w:rPr>
          <w:sz w:val="22"/>
          <w:szCs w:val="22"/>
        </w:rPr>
        <w:t>,” as if hedging were a single transferable skill. Yet the actual language of uncertainty shifts with the nature of the evidence and the demands of each field.</w:t>
      </w:r>
    </w:p>
    <w:p>
      <w:pPr>
        <w:pStyle w:val="normal1"/>
        <w:spacing w:lineRule="auto" w:line="480" w:before="0" w:after="0"/>
        <w:ind w:firstLine="720"/>
        <w:jc w:val="both"/>
        <w:rPr/>
      </w:pPr>
      <w:r>
        <w:rPr>
          <w:sz w:val="22"/>
          <w:szCs w:val="22"/>
        </w:rPr>
        <w:t>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pPr>
        <w:pStyle w:val="normal1"/>
        <w:spacing w:lineRule="auto" w:line="480" w:before="0" w:after="0"/>
        <w:ind w:firstLine="720"/>
        <w:jc w:val="both"/>
        <w:rPr/>
      </w:pPr>
      <w:r>
        <w:rPr>
          <w:sz w:val="22"/>
          <w:szCs w:val="22"/>
        </w:rPr>
        <w:t>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p>
    <w:p>
      <w:pPr>
        <w:pStyle w:val="normal1"/>
        <w:spacing w:lineRule="auto" w:line="480" w:before="0" w:after="0"/>
        <w:ind w:firstLine="720"/>
        <w:jc w:val="both"/>
        <w:rPr/>
      </w:pPr>
      <w:r>
        <w:rPr>
          <w:sz w:val="22"/>
          <w:szCs w:val="22"/>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p>
    <w:p>
      <w:pPr>
        <w:pStyle w:val="normal1"/>
        <w:keepNext w:val="true"/>
        <w:spacing w:lineRule="auto" w:line="480" w:before="240" w:after="120"/>
        <w:ind w:hanging="0"/>
        <w:rPr/>
      </w:pPr>
      <w:r>
        <w:rPr>
          <w:i/>
          <w:iCs/>
          <w:sz w:val="24"/>
          <w:szCs w:val="24"/>
        </w:rPr>
        <w:t>Hedging in Undergraduate Writing</w:t>
      </w:r>
    </w:p>
    <w:p>
      <w:pPr>
        <w:pStyle w:val="normal1"/>
        <w:spacing w:lineRule="auto" w:line="480" w:before="0" w:after="0"/>
        <w:ind w:firstLine="720"/>
        <w:jc w:val="both"/>
        <w:rPr/>
      </w:pPr>
      <w:r>
        <w:rPr>
          <w:sz w:val="22"/>
          <w:szCs w:val="22"/>
        </w:rPr>
        <w:t xml:space="preserve">Developing researchers tend to underuse hedges and rely on a narrow set of devices, most often modal verbs (Khunasathitchai et al., 2025; Suratno &amp; Aydawati, 2025; Ghia et al., 2022; Mazidah et al., 2022). Across undergraduate and upper-level student writing, the same core pattern recurs: low hedge density, limited formal variety, and a default to modals such as may or local equivalents such as </w:t>
      </w:r>
      <w:r>
        <w:rPr>
          <w:i/>
          <w:iCs/>
          <w:sz w:val="22"/>
          <w:szCs w:val="22"/>
        </w:rPr>
        <w:t>dapat</w:t>
      </w:r>
      <w:r>
        <w:rPr>
          <w:sz w:val="22"/>
          <w:szCs w:val="22"/>
        </w:rPr>
        <w:t>,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pPr>
        <w:pStyle w:val="normal1"/>
        <w:spacing w:lineRule="auto" w:line="480" w:before="0" w:after="0"/>
        <w:ind w:firstLine="720"/>
        <w:jc w:val="both"/>
        <w:rPr/>
      </w:pPr>
      <w:r>
        <w:rPr>
          <w:sz w:val="22"/>
          <w:szCs w:val="22"/>
        </w:rPr>
        <w:t>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pPr>
        <w:pStyle w:val="normal1"/>
        <w:keepNext w:val="true"/>
        <w:spacing w:lineRule="auto" w:line="480" w:before="240" w:after="120"/>
        <w:ind w:hanging="0"/>
        <w:rPr/>
      </w:pPr>
      <w:r>
        <w:rPr>
          <w:i/>
          <w:iCs/>
          <w:sz w:val="24"/>
          <w:szCs w:val="24"/>
        </w:rPr>
        <w:t>Disciplinary Variation in Scientific and Medical Writing</w:t>
      </w:r>
    </w:p>
    <w:p>
      <w:pPr>
        <w:pStyle w:val="normal1"/>
        <w:spacing w:lineRule="auto" w:line="480" w:before="0" w:after="0"/>
        <w:ind w:firstLine="720"/>
        <w:jc w:val="both"/>
        <w:rPr/>
      </w:pPr>
      <w:r>
        <w:rPr>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w:t>
      </w:r>
    </w:p>
    <w:p>
      <w:pPr>
        <w:pStyle w:val="normal1"/>
        <w:spacing w:lineRule="auto" w:line="480" w:before="0" w:after="0"/>
        <w:ind w:firstLine="720"/>
        <w:jc w:val="both"/>
        <w:rPr/>
      </w:pPr>
      <w:r>
        <w:rPr>
          <w:sz w:val="22"/>
          <w:szCs w:val="22"/>
        </w:rPr>
        <w:t>These findings are not necessarily contradictory. Afshar et al. and Mohammed compare different disciplinary pairings and use different hedge taxonomies (Afshar used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p>
    <w:p>
      <w:pPr>
        <w:pStyle w:val="normal1"/>
        <w:keepNext w:val="true"/>
        <w:spacing w:lineRule="auto" w:line="480" w:before="240" w:after="120"/>
        <w:ind w:hanging="0"/>
        <w:rPr/>
      </w:pPr>
      <w:r>
        <w:rPr>
          <w:i/>
          <w:iCs/>
          <w:sz w:val="24"/>
          <w:szCs w:val="24"/>
        </w:rPr>
        <w:t>Hedging in L2 and EFL Contexts</w:t>
      </w:r>
    </w:p>
    <w:p>
      <w:pPr>
        <w:pStyle w:val="normal1"/>
        <w:spacing w:lineRule="auto" w:line="480" w:before="0" w:after="0"/>
        <w:ind w:firstLine="720"/>
        <w:jc w:val="both"/>
        <w:rPr/>
      </w:pPr>
      <w:r>
        <w:rPr>
          <w:sz w:val="22"/>
          <w:szCs w:val="22"/>
        </w:rPr>
        <w:t>English is the medium of academic writing at PSAU, but not the home language for most students. L2 writers typically use fewer hedges and less formal variety than L1 peers (Demir, 2018;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pPr>
        <w:pStyle w:val="normal1"/>
        <w:spacing w:lineRule="auto" w:line="480" w:before="0" w:after="0"/>
        <w:ind w:firstLine="720"/>
        <w:jc w:val="both"/>
        <w:rPr/>
      </w:pPr>
      <w:r>
        <w:rPr>
          <w:sz w:val="22"/>
          <w:szCs w:val="22"/>
        </w:rPr>
        <w:t>Because this study does not measure English proficiency independently, observed patterns may reflect L2 constraints, disciplinary socialization, or both. The aim is a descriptive baseline.</w:t>
      </w:r>
    </w:p>
    <w:p>
      <w:pPr>
        <w:pStyle w:val="normal1"/>
        <w:keepNext w:val="true"/>
        <w:spacing w:lineRule="auto" w:line="480" w:before="240" w:after="120"/>
        <w:ind w:hanging="0"/>
        <w:rPr/>
      </w:pPr>
      <w:r>
        <w:rPr>
          <w:i/>
          <w:iCs/>
          <w:sz w:val="24"/>
          <w:szCs w:val="24"/>
        </w:rPr>
        <w:t>Hedging in Philippine Academic Writing Contexts</w:t>
      </w:r>
    </w:p>
    <w:p>
      <w:pPr>
        <w:pStyle w:val="normal1"/>
        <w:spacing w:lineRule="auto" w:line="480" w:before="0" w:after="0"/>
        <w:ind w:firstLine="720"/>
        <w:jc w:val="both"/>
        <w:rPr/>
      </w:pPr>
      <w:r>
        <w:rPr>
          <w:sz w:val="22"/>
          <w:szCs w:val="22"/>
        </w:rPr>
        <w:t xml:space="preserve">Philippine and regional findings align with this picture. ASEAN learner data, including Philippine samples, show a preference for boosters over hedges and overuse of intensifiers such as </w:t>
      </w:r>
      <w:r>
        <w:rPr>
          <w:i/>
          <w:iCs/>
          <w:sz w:val="22"/>
          <w:szCs w:val="22"/>
        </w:rPr>
        <w:t>completely, really, and always</w:t>
      </w:r>
      <w:r>
        <w:rPr>
          <w:sz w:val="22"/>
          <w:szCs w:val="22"/>
        </w:rPr>
        <w:t xml:space="preserve"> (Ningrum et al., 2024). Local college essay studies report developing-stage proficiency with epistemic modals dominant and only modest, often non-significant differences by major field (Escalona, 2025; Lopez et al., 2025). Outside the student essay genre, Villanueva (2014) shows hedging used to manage accountability in Philippine newspaper editorials. Different genre, same point: hedging is context-sensitive rather than a fixed national style.</w:t>
      </w:r>
    </w:p>
    <w:p>
      <w:pPr>
        <w:pStyle w:val="normal1"/>
        <w:keepNext w:val="true"/>
        <w:spacing w:lineRule="auto" w:line="480" w:before="240" w:after="120"/>
        <w:ind w:hanging="0"/>
        <w:rPr/>
      </w:pPr>
      <w:r>
        <w:rPr>
          <w:i/>
          <w:iCs/>
          <w:sz w:val="24"/>
          <w:szCs w:val="24"/>
        </w:rPr>
        <w:t>Disciplinary Variation in Abstracts and Undergraduate Theses</w:t>
      </w:r>
    </w:p>
    <w:p>
      <w:pPr>
        <w:pStyle w:val="normal1"/>
        <w:spacing w:lineRule="auto" w:line="480" w:before="0" w:after="0"/>
        <w:ind w:firstLine="720"/>
        <w:jc w:val="both"/>
        <w:rPr/>
      </w:pPr>
      <w:r>
        <w:rPr>
          <w:sz w:val="22"/>
          <w:szCs w:val="22"/>
        </w:rPr>
        <w:t>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but developing-researcher abstracts are not. Whether undergraduates in applied life sciences show any disciplinary differentiation in this genre remains an open empirical question.</w:t>
      </w:r>
    </w:p>
    <w:p>
      <w:pPr>
        <w:pStyle w:val="normal1"/>
        <w:spacing w:lineRule="auto" w:line="480" w:before="0" w:after="0"/>
        <w:ind w:firstLine="720"/>
        <w:jc w:val="both"/>
        <w:rPr/>
      </w:pPr>
      <w:r>
        <w:rPr>
          <w:sz w:val="22"/>
          <w:szCs w:val="22"/>
        </w:rPr>
        <w:t>Across the literature, expert writers show measurable disciplinary differentiation in hedging shaped by epistemic demands rather than a simple hard/soft divide (Salager-Meyer, 1994; Afshar et al., 2014; Wang, 2022; Xie &amp; Mi, 2023). Developing researchers across contexts show limited hedge variety and tend to default to modal verbs (Khunasathitchai et al., 2025; Wang, 2022; Ghia et al., 2022; Mazidah et al., 2022). L2 writers face additional constraints from linguistic factors, publication context, and limited explicit instruction (Demir, 2018; Hu &amp; Cao, 2011; Petchkij, 2019). Philippine and ASEAN studies confirm reliance on modals and, in some contexts, a preference for boosters (Ningrum et al., 2024; Escalona, 2025; Lopez et al., 2025). Abstract-focused work further shows that caution and promotion vary by discipline and ranking (Xie &amp; Mi, 2023), but undergraduate applied-science abstracts remain underdescribed.</w:t>
      </w:r>
    </w:p>
    <w:p>
      <w:pPr>
        <w:pStyle w:val="normal1"/>
        <w:spacing w:lineRule="auto" w:line="480" w:before="0" w:after="0"/>
        <w:ind w:firstLine="720"/>
        <w:jc w:val="both"/>
        <w:rPr/>
      </w:pPr>
      <w:r>
        <w:rPr>
          <w:sz w:val="22"/>
          <w:szCs w:val="22"/>
        </w:rPr>
        <w:t>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p>
    <w:p>
      <w:pPr>
        <w:pStyle w:val="normal1"/>
        <w:keepNext w:val="true"/>
        <w:spacing w:lineRule="auto" w:line="480" w:before="240" w:after="120"/>
        <w:ind w:hanging="0"/>
        <w:rPr/>
      </w:pPr>
      <w:r>
        <w:rPr>
          <w:b/>
          <w:bCs/>
          <w:sz w:val="24"/>
          <w:szCs w:val="24"/>
        </w:rPr>
        <w:t>Statement of the Problem</w:t>
      </w:r>
    </w:p>
    <w:p>
      <w:pPr>
        <w:pStyle w:val="normal1"/>
        <w:spacing w:lineRule="auto" w:line="480" w:before="0" w:after="0"/>
        <w:ind w:firstLine="720"/>
        <w:jc w:val="both"/>
        <w:rPr/>
      </w:pPr>
      <w:r>
        <w:rPr>
          <w:sz w:val="22"/>
          <w:szCs w:val="22"/>
        </w:rPr>
        <w:t>Academic writing in the applied life sciences requires discipline-sensitive management of uncertainty in English. For English Language Studies, that problem is about how L2 writers use the language’s resources for stance when they compress research into an abstract. Prior work shows that expert hedging varies across fields such as agriculture and the basic sciences, yet there is no local corpus baseline for whether developing researchers at PSAU reflect those distinctions in their English abstracts, or whether they rely on a generic, undifferentiated approach.</w:t>
      </w:r>
    </w:p>
    <w:p>
      <w:pPr>
        <w:pStyle w:val="normal1"/>
        <w:spacing w:lineRule="auto" w:line="480" w:before="0" w:after="0"/>
        <w:ind w:firstLine="720"/>
        <w:jc w:val="both"/>
        <w:rPr/>
      </w:pPr>
      <w:r>
        <w:rPr>
          <w:sz w:val="22"/>
          <w:szCs w:val="22"/>
        </w:rPr>
        <w:t>This study mapped hedging patterns in undergraduate thesis abstracts from Agriculture, Veterinary Medicine, and Biology at PSAU. Specifically, it asked the following questions:</w:t>
      </w:r>
    </w:p>
    <w:p>
      <w:pPr>
        <w:pStyle w:val="normal1"/>
        <w:spacing w:lineRule="auto" w:line="480" w:before="0" w:after="0"/>
        <w:ind w:firstLine="720"/>
        <w:jc w:val="both"/>
        <w:rPr/>
      </w:pPr>
      <w:r>
        <w:rPr>
          <w:sz w:val="22"/>
          <w:szCs w:val="22"/>
        </w:rPr>
        <w:t>1. What types of hedging devices appear in the undergraduate thesis abstracts across the three disciplines?</w:t>
      </w:r>
    </w:p>
    <w:p>
      <w:pPr>
        <w:pStyle w:val="normal1"/>
        <w:spacing w:lineRule="auto" w:line="480" w:before="0" w:after="0"/>
        <w:ind w:firstLine="720"/>
        <w:jc w:val="both"/>
        <w:rPr/>
      </w:pPr>
      <w:r>
        <w:rPr>
          <w:sz w:val="22"/>
          <w:szCs w:val="22"/>
        </w:rPr>
        <w:t>2. How does the frequency of hedging devices vary across Agriculture, Veterinary Medicine, and Biology programs?</w:t>
      </w:r>
    </w:p>
    <w:p>
      <w:pPr>
        <w:pStyle w:val="normal1"/>
        <w:spacing w:lineRule="auto" w:line="480" w:before="0" w:after="0"/>
        <w:ind w:firstLine="720"/>
        <w:jc w:val="both"/>
        <w:rPr/>
      </w:pPr>
      <w:r>
        <w:rPr>
          <w:sz w:val="22"/>
          <w:szCs w:val="22"/>
        </w:rPr>
        <w:t>3. Among the hedging devices identified, what rhetorical functions do they serve?</w:t>
      </w:r>
    </w:p>
    <w:p>
      <w:pPr>
        <w:pStyle w:val="normal1"/>
        <w:spacing w:lineRule="auto" w:line="480" w:before="0" w:after="0"/>
        <w:ind w:firstLine="720"/>
        <w:jc w:val="both"/>
        <w:rPr/>
      </w:pPr>
      <w:r>
        <w:rPr>
          <w:sz w:val="22"/>
          <w:szCs w:val="22"/>
        </w:rPr>
        <w:t>4. What do the frequency and functional patterns suggest about the construction of epistemic stance through hedging in the ratified abstracts of developing researchers at PSAU?</w:t>
      </w:r>
    </w:p>
    <w:p>
      <w:pPr>
        <w:pStyle w:val="normal1"/>
        <w:keepNext w:val="true"/>
        <w:spacing w:lineRule="auto" w:line="480" w:before="240" w:after="120"/>
        <w:ind w:hanging="0"/>
        <w:rPr/>
      </w:pPr>
      <w:r>
        <w:rPr>
          <w:b/>
          <w:bCs/>
          <w:sz w:val="24"/>
          <w:szCs w:val="24"/>
        </w:rPr>
        <w:t>Research Framework</w:t>
      </w:r>
    </w:p>
    <w:p>
      <w:pPr>
        <w:pStyle w:val="normal1"/>
        <w:spacing w:lineRule="auto" w:line="480" w:before="0" w:after="0"/>
        <w:ind w:firstLine="720"/>
        <w:jc w:val="both"/>
        <w:rPr/>
      </w:pPr>
      <w:r>
        <w:rPr>
          <w:sz w:val="22"/>
          <w:szCs w:val="22"/>
        </w:rPr>
        <w:t xml:space="preserve">This study is grounded in a coding scheme adapted from Hyland’s (1998) classification of hedging forms. The scheme is used here as an English Language Studies instrument for describing how stance is worded in L2 academic English, not only as a tally of tokens by program. Following the definition adopted in this study, a hedge is a device that changes the writer’s stance toward a proposition. Two forms of that change are coded. Epistemic Caution (EC) is reduced commitment to the truth of a knowledge claim. Politeness/Deference (P) is a change in the writer’s relationship to readers or prior work with respect to the same claim. Hyland (1998) supplies the grammatical types coded in the corpus (lexical hedges, modal verbs, adverbial hedges, and clause-level hedges) and the starting point for reading retained hedges in those two forms. False positives are a residual record of candidates that fail the claim condition or both removal checks. They are not a function label. The scheme is adapted for this corpus rather than treated as a fixed published taxonomy.</w:t>
      </w:r>
    </w:p>
    <w:p>
      <w:pPr>
        <w:pStyle w:val="normal1"/>
        <w:spacing w:lineRule="auto" w:line="480" w:before="0" w:after="0"/>
        <w:ind w:firstLine="720"/>
        <w:jc w:val="both"/>
        <w:rPr/>
      </w:pPr>
      <w:r>
        <w:rPr>
          <w:sz w:val="22"/>
          <w:szCs w:val="22"/>
        </w:rPr>
        <w:t>Hyland (1998) is the type instrument and the broad start for EC and P. Crompton (1997) supplies the boundary rule for Epistemic Caution alone: his restatement test operationalizes the Working Test for EC at Step 2. The study does not adopt Crompton’s full taxonomy. Salager-Meyer (1994) is an interpretive lens in Part IV. Her claim-responsibility account helps read density differences across programs. Hyland (2005) is a second interpretive lens. The stance model helps read what fewer hedges mean where results turn into implications. Neither interpretive lens is an operational coding criterion.</w:t>
      </w:r>
    </w:p>
    <w:p>
      <w:pPr>
        <w:pStyle w:val="normal1"/>
        <w:spacing w:lineRule="auto" w:line="480" w:before="0" w:after="0"/>
        <w:ind w:firstLine="720"/>
        <w:jc w:val="both"/>
        <w:rPr/>
      </w:pPr>
      <w:r>
        <w:rPr>
          <w:sz w:val="22"/>
          <w:szCs w:val="22"/>
        </w:rPr>
        <w:t xml:space="preserve">Coding followed the decision rules in Appendix A. After a holistic reading of each abstract, Step 1 marked all possible hedge candidates without counting retained hedges. Step 2 applied a claim condition and two removal checks. Because a hedge changes the writer’s stance toward a proposition, the device must attach to a claim: a statement about data, the world, or prior work that evidence could show to be wrong. Aims, directives, and routine procedures are excluded by kind as a consequence of that definition, not as a coding convenience. Working Test: remove the device. If the claim’s epistemic weight (the writer’s commitment to its truth) rises → EC. Reader Test: remove the device. If epistemic weight stays the same but the claim reaches the reader more bluntly or the writer takes sole ownership against prior work → P. Neither check met → FP. Retention and function assignment are the same operation by design: a token qualifies as a hedge by passing at least one test, and which test it passes is its function. EC and P may co-occur on one token when both tests hold. Step 3 assigned grammatical type only to retained EC and P tokens. Reason codes (FP-Rec, FP-Cap, FP-Proc, FP-Gen) label residual rejects. Among retained hedges, the research questions on function ask how tokens split across EC and P under this scope, not what functions hedges might serve outside it.</w:t>
      </w:r>
    </w:p>
    <w:p>
      <w:pPr>
        <w:pStyle w:val="normal1"/>
        <w:spacing w:lineRule="auto" w:line="480" w:before="0" w:after="0"/>
        <w:ind w:firstLine="720"/>
        <w:jc w:val="both"/>
        <w:rPr/>
      </w:pPr>
      <w:r>
        <w:rPr>
          <w:sz w:val="22"/>
          <w:szCs w:val="22"/>
        </w:rPr>
        <w:t>The conceptual framework is presented in Figure 1. The grouping variable is discipline (Agriculture, Veterinary Medicine, and Biology). The outcome measures are hedge type frequency, distribution, and function. The analytical path moves from Steps 1-3 through frequency analysis and cross-disciplinary comparison to functional and interpretive reading. Two boundary conditions limit generalization. The texts are produced by developing researchers whose work may not yet reflect discipline-specific norms. The institutional context at PSAU includes L2 English use, but language proficiency is not measured as a variable in this design.</w:t>
      </w:r>
    </w:p>
    <w:p>
      <w:pPr>
        <w:pStyle w:val="normal1"/>
        <w:keepNext w:val="true"/>
        <w:spacing w:lineRule="auto" w:line="276" w:before="360" w:after="0"/>
        <w:jc w:val="center"/>
        <w:rPr/>
      </w:pPr>
      <w:r>
        <w:rPr>
          <w:b/>
          <w:bCs/>
          <w:sz w:val="22"/>
          <w:szCs w:val="22"/>
        </w:rPr>
        <w:t>Figure 1</w:t>
      </w:r>
    </w:p>
    <w:p>
      <w:pPr>
        <w:pStyle w:val="normal1"/>
        <w:spacing w:lineRule="auto" w:line="276" w:before="120" w:after="240"/>
        <w:jc w:val="center"/>
        <w:rPr/>
      </w:pPr>
      <w:r>
        <w:rPr/>
        <w:drawing>
          <wp:inline distT="0" distB="0" distL="0" distR="0">
            <wp:extent cx="3601720" cy="285178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8"/>
                    <a:stretch>
                      <a:fillRect/>
                    </a:stretch>
                  </pic:blipFill>
                  <pic:spPr bwMode="auto">
                    <a:xfrm>
                      <a:off x="0" y="0"/>
                      <a:ext cx="3601720" cy="2851785"/>
                    </a:xfrm>
                    <a:prstGeom prst="rect">
                      <a:avLst/>
                    </a:prstGeom>
                  </pic:spPr>
                </pic:pic>
              </a:graphicData>
            </a:graphic>
          </wp:inline>
        </w:drawing>
      </w:r>
    </w:p>
    <w:p>
      <w:pPr>
        <w:pStyle w:val="normal1"/>
        <w:spacing w:lineRule="auto" w:line="276" w:before="0" w:after="0"/>
        <w:jc w:val="center"/>
        <w:rPr/>
      </w:pPr>
      <w:r>
        <w:rPr>
          <w:i/>
          <w:iCs/>
          <w:sz w:val="22"/>
          <w:szCs w:val="22"/>
        </w:rPr>
        <w:t>Conceptual Framework of the Study</w:t>
      </w:r>
    </w:p>
    <w:p>
      <w:pPr>
        <w:pStyle w:val="normal1"/>
        <w:keepNext w:val="true"/>
        <w:spacing w:lineRule="auto" w:line="480" w:before="240" w:after="120"/>
        <w:ind w:hanging="0"/>
        <w:rPr/>
      </w:pPr>
      <w:r>
        <w:rPr>
          <w:b/>
          <w:bCs/>
          <w:sz w:val="24"/>
          <w:szCs w:val="24"/>
        </w:rPr>
        <w:t>Significance of the Study</w:t>
      </w:r>
    </w:p>
    <w:p>
      <w:pPr>
        <w:pStyle w:val="normal1"/>
        <w:spacing w:lineRule="auto" w:line="480" w:before="0" w:after="0"/>
        <w:ind w:firstLine="720"/>
        <w:jc w:val="both"/>
        <w:rPr/>
      </w:pPr>
      <w:r>
        <w:rPr>
          <w:b/>
          <w:bCs/>
          <w:sz w:val="22"/>
          <w:szCs w:val="22"/>
        </w:rPr>
        <w:t xml:space="preserve">For writing instructors and thesis advisers at PSAU, </w:t>
      </w:r>
      <w:r>
        <w:rPr>
          <w:sz w:val="22"/>
          <w:szCs w:val="22"/>
        </w:rPr>
        <w:t>the study provides an empirical baseline of how uncertainty is managed in the ratified abstracts of three applied life sciences programs. That baseline can support more targeted feedback than generic advice to “</w:t>
      </w:r>
      <w:r>
        <w:rPr>
          <w:i/>
          <w:iCs/>
          <w:sz w:val="22"/>
          <w:szCs w:val="22"/>
        </w:rPr>
        <w:t>be cautious</w:t>
      </w:r>
      <w:r>
        <w:rPr>
          <w:sz w:val="22"/>
          <w:szCs w:val="22"/>
        </w:rPr>
        <w:t>.”</w:t>
      </w:r>
    </w:p>
    <w:p>
      <w:pPr>
        <w:pStyle w:val="normal1"/>
        <w:spacing w:lineRule="auto" w:line="480" w:before="0" w:after="0"/>
        <w:ind w:firstLine="720"/>
        <w:jc w:val="both"/>
        <w:rPr/>
      </w:pPr>
      <w:r>
        <w:rPr>
          <w:b/>
          <w:bCs/>
          <w:sz w:val="22"/>
          <w:szCs w:val="22"/>
        </w:rPr>
        <w:t xml:space="preserve">For academic writing researchers, </w:t>
      </w:r>
      <w:r>
        <w:rPr>
          <w:sz w:val="22"/>
          <w:szCs w:val="22"/>
        </w:rPr>
        <w:t>it adds Philippine applied-science abstract data to a body of work that has drawn mainly from other regional and disciplinary settings.</w:t>
      </w:r>
    </w:p>
    <w:p>
      <w:pPr>
        <w:pStyle w:val="normal1"/>
        <w:spacing w:lineRule="auto" w:line="480" w:before="0" w:after="0"/>
        <w:ind w:firstLine="720"/>
        <w:jc w:val="both"/>
        <w:rPr/>
      </w:pPr>
      <w:r>
        <w:rPr>
          <w:b/>
          <w:bCs/>
          <w:sz w:val="22"/>
          <w:szCs w:val="22"/>
        </w:rPr>
        <w:t xml:space="preserve">For the BAELS program, </w:t>
      </w:r>
      <w:r>
        <w:rPr>
          <w:sz w:val="22"/>
          <w:szCs w:val="22"/>
        </w:rPr>
        <w:t>it shows that corpus-assisted discourse analysis is a viable undergraduate thesis methodology and yields findings usable in local writing pedagogy.</w:t>
      </w:r>
    </w:p>
    <w:p>
      <w:pPr>
        <w:pStyle w:val="normal1"/>
        <w:spacing w:lineRule="auto" w:line="480" w:before="0" w:after="0"/>
        <w:ind w:firstLine="720"/>
        <w:jc w:val="both"/>
        <w:rPr/>
      </w:pPr>
      <w:r>
        <w:rPr>
          <w:b/>
          <w:bCs/>
          <w:sz w:val="22"/>
          <w:szCs w:val="22"/>
        </w:rPr>
        <w:t xml:space="preserve">For future researchers, </w:t>
      </w:r>
      <w:r>
        <w:rPr>
          <w:sz w:val="22"/>
          <w:szCs w:val="22"/>
        </w:rPr>
        <w:t>the sampling design, coding decision rules, and false-positive log offer a replicable protocol for similar corpus studies.</w:t>
      </w:r>
    </w:p>
    <w:p>
      <w:pPr>
        <w:pStyle w:val="normal1"/>
        <w:keepNext w:val="true"/>
        <w:spacing w:lineRule="auto" w:line="480" w:before="240" w:after="120"/>
        <w:ind w:hanging="0"/>
        <w:rPr/>
      </w:pPr>
      <w:r>
        <w:rPr>
          <w:b/>
          <w:bCs/>
          <w:sz w:val="24"/>
          <w:szCs w:val="24"/>
        </w:rPr>
        <w:t>Scope and Limitations</w:t>
      </w:r>
    </w:p>
    <w:p>
      <w:pPr>
        <w:pStyle w:val="normal1"/>
        <w:spacing w:lineRule="auto" w:line="480" w:before="0" w:after="0"/>
        <w:ind w:firstLine="720"/>
        <w:jc w:val="both"/>
        <w:rPr/>
      </w:pPr>
      <w:r>
        <w:rPr>
          <w:sz w:val="22"/>
          <w:szCs w:val="22"/>
        </w:rPr>
        <w:t>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p>
    <w:p>
      <w:pPr>
        <w:pStyle w:val="normal1"/>
        <w:spacing w:lineRule="auto" w:line="480" w:before="0" w:after="0"/>
        <w:ind w:firstLine="720"/>
        <w:jc w:val="both"/>
        <w:rPr/>
      </w:pPr>
      <w:r>
        <w:rPr>
          <w:sz w:val="22"/>
          <w:szCs w:val="22"/>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The pilot comparison appears in Appendix B.</w:t>
      </w:r>
    </w:p>
    <w:p>
      <w:pPr>
        <w:pStyle w:val="normal1"/>
        <w:spacing w:lineRule="auto" w:line="480" w:before="0" w:after="0"/>
        <w:ind w:firstLine="720"/>
        <w:jc w:val="both"/>
        <w:rPr/>
      </w:pPr>
      <w:r>
        <w:rPr>
          <w:sz w:val="22"/>
          <w:szCs w:val="22"/>
        </w:rPr>
        <w:t>The study is delimited to complete English-language abstracts. Abstracts with significant Filipino code-switching are excluded to maintain linguistic consistency. L2 proficiency is not measured, so the study makes no claims about learner English as such. Future work with proficiency controls could separate proficiency effects from disciplinary ones.</w:t>
      </w:r>
    </w:p>
    <w:p>
      <w:pPr>
        <w:pStyle w:val="normal1"/>
        <w:spacing w:lineRule="auto" w:line="480" w:before="0" w:after="0"/>
        <w:ind w:firstLine="720"/>
        <w:jc w:val="both"/>
        <w:rPr/>
      </w:pPr>
      <w:r>
        <w:rPr>
          <w:sz w:val="22"/>
          <w:szCs w:val="22"/>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While credibility in academic writing involves a balance of caution and certainty, this study focuses specifically on the management of uncertainty.</w:t>
      </w:r>
    </w:p>
    <w:p>
      <w:pPr>
        <w:pStyle w:val="normal1"/>
        <w:spacing w:lineRule="auto" w:line="480" w:before="0" w:after="0"/>
        <w:ind w:firstLine="720"/>
        <w:jc w:val="both"/>
        <w:rPr/>
      </w:pPr>
      <w:r>
        <w:rPr>
          <w:sz w:val="22"/>
          <w:szCs w:val="22"/>
        </w:rPr>
        <w:t>Reliability rests on intra-rater agreement on six abstracts and adviser review of the coded data.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w:t>
      </w:r>
    </w:p>
    <w:p>
      <w:pPr>
        <w:pStyle w:val="normal1"/>
        <w:spacing w:lineRule="auto" w:line="480" w:before="0" w:after="0"/>
        <w:ind w:firstLine="720"/>
        <w:jc w:val="both"/>
        <w:rPr/>
      </w:pPr>
      <w:r>
        <w:rPr>
          <w:sz w:val="22"/>
          <w:szCs w:val="22"/>
        </w:rPr>
        <w:t xml:space="preserve">The study also lacks a comparable expert-abstract corpus against which to compare the functional findings. Among retained hedges, no tokens were independently labeled Politeness (P = 0). Softened recommendations were logged as FP-Rec (n = 15), so the null applies to claim-attached softening only. P = 0 is a result under a claim-restricted scheme, consistent with abstract genre compression, rather than a general finding about how these writers handle politeness or directives. Expert abstracts in the same three disciplines, coded with the same Step 1-3 scheme, would help separate genre effects from writer-competence effects.</w:t>
      </w:r>
    </w:p>
    <w:p>
      <w:pPr>
        <w:pStyle w:val="normal1"/>
        <w:spacing w:lineRule="auto" w:line="480" w:before="0" w:after="0"/>
        <w:ind w:firstLine="720"/>
        <w:jc w:val="both"/>
        <w:rPr/>
      </w:pPr>
      <w:r>
        <w:rPr/>
        <w:t>T</w:t>
      </w:r>
      <w:r>
        <w:rPr>
          <w:sz w:val="22"/>
          <w:szCs w:val="22"/>
        </w:rPr>
        <w: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They may also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w:t>
      </w:r>
    </w:p>
    <w:p>
      <w:pPr>
        <w:pStyle w:val="normal1"/>
        <w:keepNext w:val="true"/>
        <w:spacing w:lineRule="auto" w:line="480" w:before="240" w:after="120"/>
        <w:ind w:hanging="0"/>
        <w:rPr/>
      </w:pPr>
      <w:r>
        <w:rPr>
          <w:b/>
          <w:bCs/>
          <w:sz w:val="24"/>
          <w:szCs w:val="24"/>
        </w:rPr>
        <w:t>Definition of Terms</w:t>
      </w:r>
    </w:p>
    <w:p>
      <w:pPr>
        <w:pStyle w:val="normal1"/>
        <w:spacing w:lineRule="auto" w:line="480" w:before="0" w:after="0"/>
        <w:ind w:firstLine="720"/>
        <w:jc w:val="both"/>
        <w:rPr/>
      </w:pPr>
      <w:r>
        <w:rPr>
          <w:sz w:val="22"/>
          <w:szCs w:val="22"/>
        </w:rPr>
        <w:t>The following terms are defined conceptually and operationally to ensure consistency throughout the study:</w:t>
      </w:r>
    </w:p>
    <w:p>
      <w:pPr>
        <w:pStyle w:val="normal1"/>
        <w:spacing w:lineRule="auto" w:line="480" w:before="0" w:after="0"/>
        <w:ind w:firstLine="720"/>
        <w:jc w:val="both"/>
        <w:rPr/>
      </w:pPr>
      <w:r>
        <w:rPr>
          <w:b/>
          <w:bCs/>
          <w:sz w:val="22"/>
          <w:szCs w:val="22"/>
        </w:rPr>
        <w:t>Abstract</w:t>
      </w:r>
      <w:r>
        <w:rPr>
          <w:sz w:val="22"/>
          <w:szCs w:val="22"/>
        </w:rPr>
        <w:t>,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pPr>
        <w:pStyle w:val="normal1"/>
        <w:spacing w:lineRule="auto" w:line="480" w:before="0" w:after="0"/>
        <w:ind w:firstLine="720"/>
        <w:jc w:val="both"/>
        <w:rPr/>
      </w:pPr>
      <w:r>
        <w:rPr>
          <w:b/>
          <w:bCs/>
          <w:sz w:val="22"/>
          <w:szCs w:val="22"/>
        </w:rPr>
        <w:t>Adverbial Hedges</w:t>
      </w:r>
      <w:r>
        <w:rPr>
          <w:sz w:val="22"/>
          <w:szCs w:val="22"/>
        </w:rPr>
        <w:t xml:space="preserve">, conceptually, are adverbs or adverbial expressions that qualify the scope, frequency, or certainty of a proposition. Operationally, these include </w:t>
      </w:r>
      <w:r>
        <w:rPr>
          <w:i/>
          <w:iCs/>
          <w:sz w:val="22"/>
          <w:szCs w:val="22"/>
        </w:rPr>
        <w:t>generally, typically, possibly, probably, relatively, and essentially</w:t>
      </w:r>
      <w:r>
        <w:rPr>
          <w:sz w:val="22"/>
          <w:szCs w:val="22"/>
        </w:rPr>
        <w:t>. These are coded in this study when they restrict the generalizability of a claim rather than describe a procedural norm.</w:t>
      </w:r>
    </w:p>
    <w:p>
      <w:pPr>
        <w:pStyle w:val="normal1"/>
        <w:spacing w:lineRule="auto" w:line="480" w:before="0" w:after="0"/>
        <w:ind w:firstLine="720"/>
        <w:jc w:val="both"/>
        <w:rPr/>
      </w:pPr>
      <w:r>
        <w:rPr>
          <w:b/>
          <w:bCs/>
          <w:sz w:val="22"/>
          <w:szCs w:val="22"/>
        </w:rPr>
        <w:t>Applied Life Sciences</w:t>
      </w:r>
      <w:r>
        <w:rPr>
          <w:sz w:val="22"/>
          <w:szCs w:val="22"/>
        </w:rPr>
        <w:t>,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pPr>
        <w:pStyle w:val="normal1"/>
        <w:spacing w:lineRule="auto" w:line="480" w:before="0" w:after="0"/>
        <w:ind w:firstLine="720"/>
        <w:jc w:val="both"/>
        <w:rPr/>
      </w:pPr>
      <w:r>
        <w:rPr>
          <w:b/>
          <w:bCs/>
          <w:sz w:val="22"/>
          <w:szCs w:val="22"/>
        </w:rPr>
        <w:t>Claim Responsibility</w:t>
      </w:r>
      <w:r>
        <w:rPr>
          <w:sz w:val="22"/>
          <w:szCs w:val="22"/>
        </w:rPr>
        <w:t>,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pPr>
        <w:pStyle w:val="normal1"/>
        <w:spacing w:lineRule="auto" w:line="480" w:before="0" w:after="0"/>
        <w:ind w:firstLine="720"/>
        <w:jc w:val="both"/>
        <w:rPr/>
      </w:pPr>
      <w:r>
        <w:rPr>
          <w:b/>
          <w:bCs/>
          <w:sz w:val="22"/>
          <w:szCs w:val="22"/>
        </w:rPr>
        <w:t>Chi-Square Test of Independence</w:t>
      </w:r>
      <w:r>
        <w:rPr>
          <w:rFonts w:eastAsia="Cardo" w:cs="Cardo" w:ascii="Cardo" w:hAnsi="Cardo"/>
          <w:sz w:val="22"/>
          <w:szCs w:val="22"/>
        </w:rPr>
        <w:t>,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Reported values appear in the Results chapter.</w:t>
      </w:r>
    </w:p>
    <w:p>
      <w:pPr>
        <w:pStyle w:val="normal1"/>
        <w:spacing w:lineRule="auto" w:line="480" w:before="0" w:after="0"/>
        <w:ind w:firstLine="720"/>
        <w:jc w:val="both"/>
        <w:rPr/>
      </w:pPr>
      <w:r>
        <w:rPr>
          <w:b/>
          <w:bCs/>
          <w:sz w:val="22"/>
          <w:szCs w:val="22"/>
        </w:rPr>
        <w:t>Clause-Level Hedges</w:t>
      </w:r>
      <w:r>
        <w:rPr>
          <w:sz w:val="22"/>
          <w:szCs w:val="22"/>
        </w:rPr>
        <w:t>,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pPr>
        <w:pStyle w:val="normal1"/>
        <w:spacing w:lineRule="auto" w:line="480" w:before="0" w:after="0"/>
        <w:ind w:firstLine="720"/>
        <w:jc w:val="both"/>
        <w:rPr/>
      </w:pPr>
      <w:r>
        <w:rPr>
          <w:b/>
          <w:bCs/>
          <w:sz w:val="22"/>
          <w:szCs w:val="22"/>
        </w:rPr>
        <w:t>Cohen’s Kappa (κ)</w:t>
      </w:r>
      <w:r>
        <w:rPr>
          <w:rFonts w:eastAsia="Cardo" w:cs="Cardo" w:ascii="Cardo" w:hAnsi="Cardo"/>
          <w:sz w:val="22"/>
          <w:szCs w:val="22"/>
        </w:rPr>
        <w:t>,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pPr>
        <w:pStyle w:val="normal1"/>
        <w:spacing w:lineRule="auto" w:line="480" w:before="0" w:after="0"/>
        <w:ind w:firstLine="720"/>
        <w:jc w:val="both"/>
        <w:rPr/>
      </w:pPr>
      <w:r>
        <w:rPr>
          <w:b/>
          <w:bCs/>
          <w:sz w:val="22"/>
          <w:szCs w:val="22"/>
        </w:rPr>
        <w:t>Corpus-Assisted Discourse Analysis</w:t>
      </w:r>
      <w:r>
        <w:rPr>
          <w:sz w:val="22"/>
          <w:szCs w:val="22"/>
        </w:rPr>
        <w:t>,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pPr>
        <w:pStyle w:val="normal1"/>
        <w:spacing w:lineRule="auto" w:line="480" w:before="0" w:after="0"/>
        <w:ind w:firstLine="720"/>
        <w:jc w:val="both"/>
        <w:rPr/>
      </w:pPr>
      <w:r>
        <w:rPr>
          <w:b/>
          <w:bCs/>
          <w:sz w:val="22"/>
          <w:szCs w:val="22"/>
        </w:rPr>
        <w:t>Disciplinary Variation</w:t>
      </w:r>
      <w:r>
        <w:rPr>
          <w:sz w:val="22"/>
          <w:szCs w:val="22"/>
        </w:rPr>
        <w:t>,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pPr>
        <w:pStyle w:val="normal1"/>
        <w:spacing w:lineRule="auto" w:line="480" w:before="0" w:after="0"/>
        <w:ind w:firstLine="720"/>
        <w:jc w:val="both"/>
        <w:rPr/>
      </w:pPr>
      <w:r>
        <w:rPr>
          <w:b/>
          <w:bCs/>
          <w:sz w:val="22"/>
          <w:szCs w:val="22"/>
        </w:rPr>
        <w:t>Epistemic Stance</w:t>
      </w:r>
      <w:r>
        <w:rPr>
          <w:sz w:val="22"/>
          <w:szCs w:val="22"/>
        </w:rPr>
        <w:t>,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pPr>
        <w:pStyle w:val="normal1"/>
        <w:spacing w:lineRule="auto" w:line="480" w:before="0" w:after="0"/>
        <w:ind w:firstLine="720"/>
        <w:jc w:val="both"/>
        <w:rPr/>
      </w:pPr>
      <w:r>
        <w:rPr>
          <w:b/>
          <w:bCs/>
          <w:sz w:val="22"/>
          <w:szCs w:val="22"/>
        </w:rPr>
        <w:t>Epistemic Weight</w:t>
      </w:r>
      <w:r>
        <w:rPr>
          <w:sz w:val="22"/>
          <w:szCs w:val="22"/>
        </w:rPr>
        <w:t xml:space="preserve">, conceptually, is the strength of the writer’s commitment to the truth of a proposition (how certain or tentative the claim is). Operationally, Step 2 first requires a claim: a statement about data, the world, or prior work that evidence could show to be wrong. Aims, directives, and routine </w:t>
      </w:r>
      <w:r>
        <w:rPr/>
        <w:t>procedures</w:t>
      </w:r>
      <w:r>
        <w:rPr>
          <w:sz w:val="22"/>
          <w:szCs w:val="22"/>
        </w:rPr>
        <w:t xml:space="preserve"> are excluded by kind. The Working Test then asks whether removing the device raises that claim’s epistemic weight (EC). The Reader Test asks whether epistemic weight stays the same but the claim reaches the reader more bluntly or the writer takes sole ownership against prior work (P). Non-claims and tokens that meet neither check are logged as FP.</w:t>
      </w:r>
    </w:p>
    <w:p>
      <w:pPr>
        <w:pStyle w:val="normal1"/>
        <w:spacing w:lineRule="auto" w:line="480" w:before="0" w:after="0"/>
        <w:ind w:firstLine="720"/>
        <w:jc w:val="both"/>
        <w:rPr/>
      </w:pPr>
      <w:r>
        <w:rPr>
          <w:b/>
          <w:bCs/>
          <w:sz w:val="22"/>
          <w:szCs w:val="22"/>
        </w:rPr>
        <w:t>Hedge Function</w:t>
      </w:r>
      <w:r>
        <w:rPr>
          <w:sz w:val="22"/>
          <w:szCs w:val="22"/>
        </w:rPr>
        <w:t>, conceptually, refers to the rhetorical purpose a hedging device serves in its discourse context. Operationally, this study uses two function labels, adapted from Hyland’s (1998) discussion of hedging functions (not a fixed published taxonomy): Epistemic Caution (EC), which expresses reduced commitment to a claim’s truth or accuracy, and Politeness/Deference (P), which shows interpersonal softening toward readers or prior research. False positives are residual rejects recorded with reason codes.</w:t>
      </w:r>
    </w:p>
    <w:p>
      <w:pPr>
        <w:pStyle w:val="normal1"/>
        <w:spacing w:lineRule="auto" w:line="480" w:before="0" w:after="0"/>
        <w:ind w:firstLine="720"/>
        <w:jc w:val="both"/>
        <w:rPr/>
      </w:pPr>
      <w:r>
        <w:rPr>
          <w:rFonts w:ascii="Georgia" w:hAnsi="Georgia" w:cs="Georgia" w:eastAsia="Georgia"/>
          <w:sz w:val="22"/>
          <w:szCs w:val="22"/>
          <w:b/>
        </w:rPr>
        <w:t xml:space="preserve">Hedging</w:t>
      </w:r>
      <w:r>
        <w:rPr>
          <w:rFonts w:ascii="Georgia" w:hAnsi="Georgia" w:cs="Georgia" w:eastAsia="Georgia"/>
          <w:sz w:val="22"/>
          <w:szCs w:val="22"/>
        </w:rPr>
        <w:t xml:space="preserve">, conceptually, is the use of a linguistic device that changes the writer’s stance toward a proposition: either the writer’s commitment to the truth of that proposition (Epistemic Caution) or the writer’s relationship to readers or prior work with respect to it (Politeness/Deference). Operationally, this study codes four grammatical types after Hyland (1998)—lexical hedges, modal verbs, adverbial hedges, and clause-level hedges—and retains a token only when Step 2 shows such a stance change on a claim.</w:t>
      </w:r>
    </w:p>
    <w:p>
      <w:pPr>
        <w:pStyle w:val="normal1"/>
        <w:spacing w:lineRule="auto" w:line="480" w:before="0" w:after="0"/>
        <w:ind w:firstLine="720"/>
        <w:jc w:val="both"/>
        <w:rPr/>
      </w:pPr>
      <w:r>
        <w:rPr>
          <w:b/>
          <w:bCs/>
          <w:sz w:val="22"/>
          <w:szCs w:val="22"/>
        </w:rPr>
        <w:t>Kruskal-Wallis Test</w:t>
      </w:r>
      <w:r>
        <w:rPr>
          <w:sz w:val="22"/>
          <w:szCs w:val="22"/>
        </w:rPr>
        <w:t>,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Reported values appear in the Results chapter.</w:t>
      </w:r>
    </w:p>
    <w:p>
      <w:pPr>
        <w:pStyle w:val="normal1"/>
        <w:spacing w:lineRule="auto" w:line="480" w:before="0" w:after="0"/>
        <w:ind w:firstLine="720"/>
        <w:jc w:val="both"/>
        <w:rPr/>
      </w:pPr>
      <w:r>
        <w:rPr>
          <w:b/>
          <w:bCs/>
          <w:sz w:val="22"/>
          <w:szCs w:val="22"/>
        </w:rPr>
        <w:t>Lexical Hedges</w:t>
      </w:r>
      <w:r>
        <w:rPr>
          <w:sz w:val="22"/>
          <w:szCs w:val="22"/>
        </w:rPr>
        <w:t xml:space="preserve">, conceptually, are verbs, adjectives, or nouns that introduce uncertainty or tentativeness at the propositional level. Operationally, these include verbs such as </w:t>
      </w:r>
      <w:r>
        <w:rPr>
          <w:i/>
          <w:iCs/>
          <w:sz w:val="22"/>
          <w:szCs w:val="22"/>
        </w:rPr>
        <w:t>suggest, indicate, appear</w:t>
      </w:r>
      <w:r>
        <w:rPr>
          <w:sz w:val="22"/>
          <w:szCs w:val="22"/>
        </w:rPr>
        <w:t xml:space="preserve">, and </w:t>
      </w:r>
      <w:r>
        <w:rPr>
          <w:i/>
          <w:iCs/>
          <w:sz w:val="22"/>
          <w:szCs w:val="22"/>
        </w:rPr>
        <w:t>seem</w:t>
      </w:r>
      <w:r>
        <w:rPr>
          <w:sz w:val="22"/>
          <w:szCs w:val="22"/>
        </w:rPr>
        <w:t xml:space="preserve">. They also include adjectives such as possible, probable, and likely, and nouns such as </w:t>
      </w:r>
      <w:r>
        <w:rPr>
          <w:i/>
          <w:iCs/>
          <w:sz w:val="22"/>
          <w:szCs w:val="22"/>
        </w:rPr>
        <w:t>possibility</w:t>
      </w:r>
      <w:r>
        <w:rPr>
          <w:sz w:val="22"/>
          <w:szCs w:val="22"/>
        </w:rPr>
        <w:t xml:space="preserve"> and </w:t>
      </w:r>
      <w:r>
        <w:rPr>
          <w:i/>
          <w:iCs/>
          <w:sz w:val="22"/>
          <w:szCs w:val="22"/>
        </w:rPr>
        <w:t>assumption</w:t>
      </w:r>
      <w:r>
        <w:rPr>
          <w:sz w:val="22"/>
          <w:szCs w:val="22"/>
        </w:rPr>
        <w:t>. These are coded in this study when they express epistemic qualification of a claim rather than description or recommendation.</w:t>
      </w:r>
    </w:p>
    <w:p>
      <w:pPr>
        <w:pStyle w:val="normal1"/>
        <w:spacing w:lineRule="auto" w:line="480" w:before="0" w:after="0"/>
        <w:ind w:firstLine="720"/>
        <w:jc w:val="both"/>
        <w:rPr/>
      </w:pPr>
      <w:r>
        <w:rPr>
          <w:b/>
          <w:bCs/>
          <w:sz w:val="22"/>
          <w:szCs w:val="22"/>
        </w:rPr>
        <w:t>Mann-Whitney U Test</w:t>
      </w:r>
      <w:r>
        <w:rPr>
          <w:rFonts w:eastAsia="Caudex" w:cs="Caudex" w:ascii="Caudex" w:hAnsi="Caudex"/>
          <w:sz w:val="22"/>
          <w:szCs w:val="22"/>
        </w:rPr>
        <w:t>,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=.017. Reported pairwise results appear in the Results chapter.</w:t>
      </w:r>
    </w:p>
    <w:p>
      <w:pPr>
        <w:pStyle w:val="normal1"/>
        <w:spacing w:lineRule="auto" w:line="480" w:before="0" w:after="0"/>
        <w:ind w:firstLine="720"/>
        <w:jc w:val="both"/>
        <w:rPr/>
      </w:pPr>
      <w:r>
        <w:rPr>
          <w:b/>
          <w:bCs/>
          <w:sz w:val="22"/>
          <w:szCs w:val="22"/>
        </w:rPr>
        <w:t>Modal Verbs</w:t>
      </w:r>
      <w:r>
        <w:rPr>
          <w:sz w:val="22"/>
          <w:szCs w:val="22"/>
        </w:rPr>
        <w:t xml:space="preserve">, conceptually, are auxiliary verbs that express degrees of possibility, probability, or conditionality. Operationally, these include </w:t>
      </w:r>
      <w:r>
        <w:rPr>
          <w:i/>
          <w:iCs/>
          <w:sz w:val="22"/>
          <w:szCs w:val="22"/>
        </w:rPr>
        <w:t>may, might, could, would, should</w:t>
      </w:r>
      <w:r>
        <w:rPr>
          <w:sz w:val="22"/>
          <w:szCs w:val="22"/>
        </w:rPr>
        <w:t xml:space="preserve">, and </w:t>
      </w:r>
      <w:r>
        <w:rPr>
          <w:i/>
          <w:iCs/>
          <w:sz w:val="22"/>
          <w:szCs w:val="22"/>
        </w:rPr>
        <w:t>can</w:t>
      </w:r>
      <w:r>
        <w:rPr>
          <w:sz w:val="22"/>
          <w:szCs w:val="22"/>
        </w:rPr>
        <w:t>. These are coded in this study when they signal epistemic uncertainty about a claim rather than capability, obligation, or future procedure.</w:t>
      </w:r>
    </w:p>
    <w:p>
      <w:pPr>
        <w:pStyle w:val="normal1"/>
        <w:spacing w:lineRule="auto" w:line="480" w:before="0" w:after="0"/>
        <w:ind w:firstLine="720"/>
        <w:jc w:val="both"/>
        <w:rPr/>
      </w:pPr>
      <w:r>
        <w:rPr>
          <w:b/>
          <w:bCs/>
          <w:sz w:val="22"/>
          <w:szCs w:val="22"/>
        </w:rPr>
        <w:t>Normalized Frequency</w:t>
      </w:r>
      <w:r>
        <w:rPr>
          <w:sz w:val="22"/>
          <w:szCs w:val="22"/>
        </w:rPr>
        <w:t>,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pStyle w:val="normal1"/>
        <w:spacing w:lineRule="auto" w:line="480" w:before="0" w:after="0"/>
        <w:ind w:firstLine="720"/>
        <w:jc w:val="both"/>
        <w:rPr/>
      </w:pPr>
      <w:r>
        <w:rPr>
          <w:b/>
          <w:bCs/>
          <w:sz w:val="22"/>
          <w:szCs w:val="22"/>
        </w:rPr>
        <w:t>Operational Restatement (Threshold Restatement)</w:t>
      </w:r>
      <w:r>
        <w:rPr>
          <w:sz w:val="22"/>
          <w:szCs w:val="22"/>
        </w:rPr>
        <w:t>, conceptually, a phrase that only restates a result already fixed by the measure or a field-standard threshold, without a further uncertain inference. Operationally, evidential verbs used this way (especially indicating) are coded FP-Gen rather than as lexical hedges. In the Coding Decision Rules this rule is also called the “</w:t>
      </w:r>
      <w:r>
        <w:rPr>
          <w:i/>
          <w:iCs/>
          <w:sz w:val="22"/>
          <w:szCs w:val="22"/>
        </w:rPr>
        <w:t>indicating</w:t>
      </w:r>
      <w:r>
        <w:rPr>
          <w:sz w:val="22"/>
          <w:szCs w:val="22"/>
        </w:rPr>
        <w:t>” tautology test.</w:t>
      </w:r>
    </w:p>
    <w:p>
      <w:pPr>
        <w:pStyle w:val="normal1"/>
        <w:spacing w:lineRule="auto" w:line="480" w:before="0" w:after="0"/>
        <w:ind w:firstLine="720"/>
        <w:jc w:val="both"/>
        <w:rPr/>
      </w:pPr>
      <w:r>
        <w:rPr>
          <w:b/>
          <w:bCs/>
          <w:sz w:val="22"/>
          <w:szCs w:val="22"/>
        </w:rPr>
        <w:t>Rescue-Hedging (Rescue Framing)</w:t>
      </w:r>
      <w:r>
        <w:rPr>
          <w:sz w:val="22"/>
          <w:szCs w:val="22"/>
        </w:rPr>
        <w:t>, conceptually, the use of hedges after an explicit non-significant result so that a treatment or finding is still presented as potentially beneficial. Operationally, the term is used in this study as a descriptive label for that pattern.</w:t>
      </w:r>
    </w:p>
    <w:p>
      <w:pPr>
        <w:sectPr>
          <w:headerReference w:type="default" r:id="rId9"/>
          <w:headerReference w:type="first" r:id="rId10"/>
          <w:footerReference w:type="default" r:id="rId11"/>
          <w:footerReference w:type="first" r:id="rId12"/>
          <w:type w:val="nextPage"/>
          <w:pgSz w:w="11906" w:h="16838"/>
          <w:pgMar w:left="2160" w:right="1440" w:gutter="0" w:header="720" w:top="1440" w:footer="720" w:bottom="1440"/>
          <w:pgNumType w:fmt="decimal"/>
          <w:formProt w:val="false"/>
          <w:titlePg/>
          <w:textDirection w:val="lrTb"/>
          <w:docGrid w:type="default" w:linePitch="100" w:charSpace="4096"/>
        </w:sectPr>
        <w:pStyle w:val="normal1"/>
        <w:spacing w:lineRule="auto" w:line="480" w:before="0" w:after="0"/>
        <w:ind w:firstLine="720"/>
        <w:jc w:val="both"/>
        <w:rPr/>
      </w:pPr>
      <w:r>
        <w:rPr>
          <w:b/>
          <w:bCs/>
          <w:sz w:val="22"/>
          <w:szCs w:val="22"/>
        </w:rPr>
        <w:t>Softening</w:t>
      </w:r>
      <w:r>
        <w:rPr>
          <w:sz w:val="22"/>
          <w:szCs w:val="22"/>
        </w:rPr>
        <w:t>, conceptually, is the reduction of force, directness, imposition, or interpersonal impact in a statement. Operationally, Step 2 tracks softening only on claims (statements about data, the world, or prior work that evidence could show to be wrong). Retained hedges are labeled EC and/or P only, by the Working Test and Reader Test after the claim condition. FP is Aims, directives, and routine procedure fail the claim condition by kind and are logged FP. P = 0 in this study refers to reader-oriented softening of claims, not to softened directives.</w:t>
      </w:r>
    </w:p>
    <w:p>
      <w:pPr>
        <w:pStyle w:val="normal1"/>
        <w:spacing w:lineRule="auto" w:line="480" w:before="720" w:after="240"/>
        <w:ind w:hanging="0"/>
        <w:jc w:val="center"/>
        <w:rPr/>
      </w:pPr>
      <w:r>
        <w:rPr>
          <w:b/>
          <w:bCs/>
          <w:sz w:val="28"/>
          <w:szCs w:val="28"/>
        </w:rPr>
        <w:t>METHODOLOGY</w:t>
      </w:r>
    </w:p>
    <w:p>
      <w:pPr>
        <w:pStyle w:val="normal1"/>
        <w:spacing w:lineRule="auto" w:line="480" w:before="0" w:after="0"/>
        <w:ind w:firstLine="720"/>
        <w:jc w:val="both"/>
        <w:rPr/>
      </w:pPr>
      <w:r>
        <w:rPr/>
      </w:r>
    </w:p>
    <w:p>
      <w:pPr>
        <w:pStyle w:val="normal1"/>
        <w:spacing w:lineRule="auto" w:line="480" w:before="0" w:after="0"/>
        <w:ind w:firstLine="720"/>
        <w:jc w:val="both"/>
        <w:rPr/>
      </w:pPr>
      <w:r>
        <w:rPr>
          <w:sz w:val="22"/>
          <w:szCs w:val="22"/>
        </w:rPr>
        <w:t>This chapter describes the research design, institutional context, data collection process, and corpus selection for the study. Each methodological decision was justified by the nature of the research questions and the practical constraints of an undergraduate thesis.</w:t>
      </w:r>
    </w:p>
    <w:p>
      <w:pPr>
        <w:pStyle w:val="normal1"/>
        <w:keepNext w:val="true"/>
        <w:spacing w:lineRule="auto" w:line="480" w:before="240" w:after="120"/>
        <w:ind w:hanging="0"/>
        <w:rPr/>
      </w:pPr>
      <w:r>
        <w:rPr>
          <w:b/>
          <w:bCs/>
          <w:sz w:val="24"/>
          <w:szCs w:val="24"/>
        </w:rPr>
        <w:t>Research Context</w:t>
      </w:r>
    </w:p>
    <w:p>
      <w:pPr>
        <w:pStyle w:val="normal1"/>
        <w:spacing w:lineRule="auto" w:line="480" w:before="0" w:after="0"/>
        <w:ind w:firstLine="720"/>
        <w:jc w:val="both"/>
        <w:rPr/>
      </w:pPr>
      <w:r>
        <w:rPr>
          <w:sz w:val="22"/>
          <w:szCs w:val="22"/>
        </w:rPr>
        <w:t>This study was situated at Pampanga State Agricultural University (PSAU), a state university specializing in agricultural and applied life sciences. Agriculture, Veterinary Medicine, and Biology are the core applied life science programs of the university, making them appropriate disciplines for an institutional corpus study.</w:t>
      </w:r>
    </w:p>
    <w:p>
      <w:pPr>
        <w:pStyle w:val="normal1"/>
        <w:spacing w:lineRule="auto" w:line="480" w:before="0" w:after="0"/>
        <w:ind w:firstLine="720"/>
        <w:jc w:val="both"/>
        <w:rPr/>
      </w:pPr>
      <w:r>
        <w:rPr>
          <w:sz w:val="22"/>
          <w:szCs w:val="22"/>
        </w:rPr>
        <w:t>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p>
    <w:p>
      <w:pPr>
        <w:pStyle w:val="normal1"/>
        <w:spacing w:lineRule="auto" w:line="480" w:before="0" w:after="0"/>
        <w:ind w:firstLine="720"/>
        <w:jc w:val="both"/>
        <w:rPr/>
      </w:pPr>
      <w:r>
        <w:rPr>
          <w:sz w:val="22"/>
          <w:szCs w:val="22"/>
        </w:rPr>
        <w:t>The PSAU thesis guidelines available for this study prescribed standard formatting but did not set a rigid rhetorical template for abstracts.</w:t>
      </w:r>
    </w:p>
    <w:p>
      <w:pPr>
        <w:pStyle w:val="normal1"/>
        <w:keepNext w:val="true"/>
        <w:spacing w:lineRule="auto" w:line="480" w:before="240" w:after="120"/>
        <w:ind w:hanging="0"/>
        <w:rPr/>
      </w:pPr>
      <w:r>
        <w:rPr>
          <w:b/>
          <w:bCs/>
          <w:sz w:val="24"/>
          <w:szCs w:val="24"/>
        </w:rPr>
        <w:t>Research Design</w:t>
      </w:r>
    </w:p>
    <w:p>
      <w:pPr>
        <w:pStyle w:val="normal1"/>
        <w:spacing w:lineRule="auto" w:line="480" w:before="0" w:after="0"/>
        <w:ind w:firstLine="720"/>
        <w:jc w:val="both"/>
        <w:rPr/>
      </w:pPr>
      <w:r>
        <w:rPr>
          <w:sz w:val="22"/>
          <w:szCs w:val="22"/>
        </w:rPr>
        <w:t>This study employed a descriptive mixed-methods design combining quantitative frequency analysis with qualitative functional interpretation (Biber et al., 1998). The design treated hedging as observable English language use in ratified abstracts.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p>
    <w:p>
      <w:pPr>
        <w:pStyle w:val="normal1"/>
        <w:keepNext w:val="true"/>
        <w:spacing w:lineRule="auto" w:line="480" w:before="240" w:after="120"/>
        <w:ind w:hanging="0"/>
        <w:rPr/>
      </w:pPr>
      <w:r>
        <w:rPr>
          <w:b/>
          <w:bCs/>
          <w:sz w:val="24"/>
          <w:szCs w:val="24"/>
        </w:rPr>
        <w:t>Research Process</w:t>
      </w:r>
    </w:p>
    <w:p>
      <w:pPr>
        <w:pStyle w:val="normal1"/>
        <w:spacing w:lineRule="auto" w:line="480" w:before="0" w:after="0"/>
        <w:ind w:firstLine="720"/>
        <w:jc w:val="both"/>
        <w:rPr/>
      </w:pPr>
      <w:r>
        <w:rPr>
          <w:sz w:val="22"/>
          <w:szCs w:val="22"/>
        </w:rPr>
        <w:t>The study proceeded through the following steps:</w:t>
      </w:r>
    </w:p>
    <w:p>
      <w:pPr>
        <w:pStyle w:val="normal1"/>
        <w:spacing w:lineRule="auto" w:line="480" w:before="0" w:after="0"/>
        <w:ind w:firstLine="720"/>
        <w:jc w:val="both"/>
        <w:rPr/>
      </w:pPr>
      <w:r>
        <w:rPr>
          <w:b/>
          <w:bCs/>
          <w:sz w:val="22"/>
          <w:szCs w:val="22"/>
        </w:rPr>
        <w:t xml:space="preserve">a. Requesting Permission. </w:t>
      </w:r>
      <w:r>
        <w:rPr>
          <w:sz w:val="22"/>
          <w:szCs w:val="22"/>
        </w:rPr>
        <w:t>The researcher secured permission from the PSAU Librar</w:t>
      </w:r>
      <w:r>
        <w:rPr/>
        <w:t xml:space="preserve">ian </w:t>
      </w:r>
      <w:r>
        <w:rPr>
          <w:sz w:val="22"/>
          <w:szCs w:val="22"/>
        </w:rPr>
        <w:t>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pPr>
        <w:pStyle w:val="normal1"/>
        <w:spacing w:lineRule="auto" w:line="480" w:before="0" w:after="0"/>
        <w:ind w:firstLine="720"/>
        <w:jc w:val="both"/>
        <w:rPr/>
      </w:pPr>
      <w:r>
        <w:rPr>
          <w:b/>
          <w:bCs/>
          <w:sz w:val="22"/>
          <w:szCs w:val="22"/>
        </w:rPr>
        <w:t>b. Corpus Construction.</w:t>
      </w:r>
      <w:r>
        <w:rPr>
          <w:sz w:val="22"/>
          <w:szCs w:val="22"/>
        </w:rPr>
        <w:t xml:space="preserve"> 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pPr>
        <w:pStyle w:val="normal1"/>
        <w:spacing w:lineRule="auto" w:line="480" w:before="0" w:after="0"/>
        <w:ind w:firstLine="720"/>
        <w:jc w:val="both"/>
        <w:rPr/>
      </w:pPr>
      <w:r>
        <w:rPr>
          <w:b/>
          <w:bCs/>
          <w:sz w:val="22"/>
          <w:szCs w:val="22"/>
        </w:rPr>
        <w:t>c. Text Extraction.</w:t>
      </w:r>
      <w:r>
        <w:rPr>
          <w:sz w:val="22"/>
          <w:szCs w:val="22"/>
        </w:rPr>
        <w:t xml:space="preserve"> 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pPr>
        <w:pStyle w:val="normal1"/>
        <w:spacing w:lineRule="auto" w:line="480" w:before="0" w:after="0"/>
        <w:ind w:firstLine="720"/>
        <w:jc w:val="both"/>
        <w:rPr/>
      </w:pPr>
      <w:r>
        <w:rPr>
          <w:b/>
          <w:bCs/>
          <w:sz w:val="22"/>
          <w:szCs w:val="22"/>
        </w:rPr>
        <w:t xml:space="preserve">d. Pilot Testing and Reliability Checking. </w:t>
      </w:r>
      <w:r>
        <w:rPr>
          <w:sz w:val="22"/>
          <w:szCs w:val="22"/>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is common in single-researcher undergraduate projects. Discrepancies were resolved through discussion and consensus.</w:t>
      </w:r>
    </w:p>
    <w:p>
      <w:pPr>
        <w:pStyle w:val="normal1"/>
        <w:spacing w:lineRule="auto" w:line="480" w:before="0" w:after="0"/>
        <w:ind w:firstLine="720"/>
        <w:jc w:val="both"/>
        <w:rPr/>
      </w:pPr>
      <w:r>
        <w:rPr>
          <w:b/>
          <w:bCs/>
          <w:sz w:val="22"/>
          <w:szCs w:val="22"/>
        </w:rPr>
        <w:t xml:space="preserve">e. Data Analysis. </w:t>
      </w:r>
      <w:r>
        <w:rPr>
          <w:sz w:val="22"/>
          <w:szCs w:val="22"/>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tests (chi-square, Kruskal-Wallis).</w:t>
      </w:r>
    </w:p>
    <w:p>
      <w:pPr>
        <w:pStyle w:val="normal1"/>
        <w:spacing w:lineRule="auto" w:line="480" w:before="0" w:after="0"/>
        <w:ind w:firstLine="720"/>
        <w:jc w:val="both"/>
        <w:rPr/>
      </w:pPr>
      <w:r>
        <w:rPr>
          <w:b/>
          <w:bCs/>
          <w:sz w:val="22"/>
          <w:szCs w:val="22"/>
        </w:rPr>
        <w:t xml:space="preserve">f. Timeline. </w:t>
      </w:r>
      <w:r>
        <w:rPr>
          <w:sz w:val="22"/>
          <w:szCs w:val="22"/>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pPr>
        <w:pStyle w:val="normal1"/>
        <w:keepNext w:val="true"/>
        <w:spacing w:lineRule="auto" w:line="480" w:before="240" w:after="120"/>
        <w:ind w:hanging="0"/>
        <w:rPr/>
      </w:pPr>
      <w:r>
        <w:rPr>
          <w:b/>
          <w:bCs/>
          <w:sz w:val="24"/>
          <w:szCs w:val="24"/>
        </w:rPr>
        <w:t>Coding Decision Rules for Ambiguous Cases</w:t>
      </w:r>
    </w:p>
    <w:p>
      <w:pPr>
        <w:pStyle w:val="normal1"/>
        <w:spacing w:lineRule="auto" w:line="480" w:before="0" w:after="0"/>
        <w:ind w:firstLine="720"/>
        <w:jc w:val="both"/>
        <w:rPr/>
      </w:pPr>
      <w:r>
        <w:rPr>
          <w:sz w:val="22"/>
          <w:szCs w:val="22"/>
        </w:rPr>
        <w:t xml:space="preserve">Ambiguous forms such as </w:t>
      </w:r>
      <w:r>
        <w:rPr>
          <w:i/>
          <w:iCs/>
          <w:sz w:val="22"/>
          <w:szCs w:val="22"/>
        </w:rPr>
        <w:t>can, potential, indicating</w:t>
      </w:r>
      <w:r>
        <w:rPr>
          <w:sz w:val="22"/>
          <w:szCs w:val="22"/>
        </w:rPr>
        <w:t xml:space="preserve">, and </w:t>
      </w:r>
      <w:r>
        <w:rPr>
          <w:i/>
          <w:iCs/>
          <w:sz w:val="22"/>
          <w:szCs w:val="22"/>
        </w:rPr>
        <w:t>possibility</w:t>
      </w:r>
      <w:r>
        <w:rPr>
          <w:sz w:val="22"/>
          <w:szCs w:val="22"/>
        </w:rPr>
        <w:t xml:space="preserve"> may function either as epistemic hedges or as non-epistemic lexical items depending on context. The following decision rules show how the claim condition and removal checks apply. First, “</w:t>
      </w:r>
      <w:r>
        <w:rPr>
          <w:i/>
          <w:iCs/>
          <w:sz w:val="22"/>
          <w:szCs w:val="22"/>
        </w:rPr>
        <w:t>can</w:t>
      </w:r>
      <w:r>
        <w:rPr>
          <w:sz w:val="22"/>
          <w:szCs w:val="22"/>
        </w:rPr>
        <w:t>” combined with an active content verb describing a treatment effect (enhance, promote, reduce, help) fails as a claim-mitigator when it only marks capability (FP-Cap), because removing “</w:t>
      </w:r>
      <w:r>
        <w:rPr>
          <w:i/>
          <w:iCs/>
          <w:sz w:val="22"/>
          <w:szCs w:val="22"/>
        </w:rPr>
        <w:t>can</w:t>
      </w:r>
      <w:r>
        <w:rPr>
          <w:sz w:val="22"/>
          <w:szCs w:val="22"/>
        </w:rPr>
        <w:t>” does not raise the claim’s epistemic weight when the host is ability rather than a finding under doubt. Second, the “</w:t>
      </w:r>
      <w:r>
        <w:rPr>
          <w:i/>
          <w:iCs/>
          <w:sz w:val="22"/>
          <w:szCs w:val="22"/>
        </w:rPr>
        <w:t>indicating</w:t>
      </w:r>
      <w:r>
        <w:rPr>
          <w:sz w:val="22"/>
          <w:szCs w:val="22"/>
        </w:rPr>
        <w:t>”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w:t>
      </w:r>
      <w:r>
        <w:rPr>
          <w:i/>
          <w:iCs/>
          <w:sz w:val="22"/>
          <w:szCs w:val="22"/>
        </w:rPr>
        <w:t>potential + noun</w:t>
      </w:r>
      <w:r>
        <w:rPr>
          <w:sz w:val="22"/>
          <w:szCs w:val="22"/>
        </w:rPr>
        <w:t>,” structural position is how the claim condition applies. Aim and methods clauses are non-claims (what the study set out to do), so “</w:t>
      </w:r>
      <w:r>
        <w:rPr>
          <w:i/>
          <w:iCs/>
          <w:sz w:val="22"/>
          <w:szCs w:val="22"/>
        </w:rPr>
        <w:t>potential</w:t>
      </w:r>
      <w:r>
        <w:rPr>
          <w:sz w:val="22"/>
          <w:szCs w:val="22"/>
        </w:rPr>
        <w:t>” there fails the claim condition and is coded FP-Gen, as when an abstract “explores the potential antifungal properties” of a plant or names “potential pharmaceutical applications” as the object of further study. Results and conclusion frames that qualify a finding-claim remain claims, so “</w:t>
      </w:r>
      <w:r>
        <w:rPr>
          <w:i/>
          <w:iCs/>
          <w:sz w:val="22"/>
          <w:szCs w:val="22"/>
        </w:rPr>
        <w:t>potential</w:t>
      </w:r>
      <w:r>
        <w:rPr>
          <w:sz w:val="22"/>
          <w:szCs w:val="22"/>
        </w:rPr>
        <w:t>” can pass the claim condition and, if the Working Test holds, is coded Lexical EC. When removing the token clearly changes the epistemic weight of a proposition, for example when “presence of potential mycobacterial infections” becomes an asserted presence claim without the modifier, the token is coded Lexical EC. The same claim-condition treatment applies to “</w:t>
      </w:r>
      <w:r>
        <w:rPr>
          <w:i/>
          <w:iCs/>
          <w:sz w:val="22"/>
          <w:szCs w:val="22"/>
        </w:rPr>
        <w:t>possibility + noun</w:t>
      </w:r>
      <w:r>
        <w:rPr>
          <w:sz w:val="22"/>
          <w:szCs w:val="22"/>
        </w:rPr>
        <w:t>” in aim and method sentences. Fourth, when a sentence contains multiple hedge-like tokens, each is tested on its own host clause under the claim condition and the two removal checks.</w:t>
      </w:r>
    </w:p>
    <w:p>
      <w:pPr>
        <w:pStyle w:val="normal1"/>
        <w:keepNext w:val="true"/>
        <w:spacing w:lineRule="auto" w:line="480" w:before="240" w:after="120"/>
        <w:ind w:hanging="0"/>
        <w:rPr/>
      </w:pPr>
      <w:r>
        <w:rPr>
          <w:b/>
          <w:bCs/>
          <w:sz w:val="24"/>
          <w:szCs w:val="24"/>
        </w:rPr>
        <w:t>Research Corpus</w:t>
      </w:r>
    </w:p>
    <w:p>
      <w:pPr>
        <w:pStyle w:val="normal1"/>
        <w:spacing w:lineRule="auto" w:line="480" w:before="0" w:after="0"/>
        <w:ind w:firstLine="720"/>
        <w:jc w:val="both"/>
        <w:rPr/>
      </w:pPr>
      <w:r>
        <w:rPr>
          <w:sz w:val="22"/>
          <w:szCs w:val="22"/>
        </w:rPr>
        <w:t>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Stratum intervals and the sampling procedure are given under Research Process, step b. For a manually coded functional analysis at a single institution, 60 texts allow sufficient depth of interpretation within the timeframe and resources of a BA thesis. The study treated findings as baseline descriptive data for institutional curriculum review.</w:t>
      </w:r>
      <w:r>
        <w:br w:type="page"/>
      </w:r>
    </w:p>
    <w:p>
      <w:pPr>
        <w:pStyle w:val="normal1"/>
        <w:keepNext w:val="true"/>
        <w:spacing w:lineRule="auto" w:line="480" w:before="240" w:after="0"/>
        <w:jc w:val="center"/>
        <w:rPr/>
      </w:pPr>
      <w:r>
        <w:rPr>
          <w:b/>
          <w:bCs/>
          <w:sz w:val="22"/>
          <w:szCs w:val="22"/>
        </w:rPr>
        <w:t>Table 1</w:t>
      </w:r>
    </w:p>
    <w:p>
      <w:pPr>
        <w:pStyle w:val="normal1"/>
        <w:keepNext w:val="true"/>
        <w:spacing w:lineRule="auto" w:line="480" w:before="0" w:after="60"/>
        <w:jc w:val="center"/>
        <w:rPr/>
      </w:pPr>
      <w:r>
        <w:rPr>
          <w:sz w:val="22"/>
          <w:szCs w:val="22"/>
        </w:rPr>
        <w:t>PSAU Thesis Repository: Population and Sampling Summary</w:t>
      </w:r>
    </w:p>
    <w:tbl>
      <w:tblPr>
        <w:tblStyle w:val="Table1"/>
        <w:tblW w:w="8304" w:type="dxa"/>
        <w:jc w:val="left"/>
        <w:tblInd w:w="-115" w:type="dxa"/>
        <w:tblLayout w:type="fixed"/>
        <w:tblCellMar>
          <w:top w:w="0" w:type="dxa"/>
          <w:left w:w="108" w:type="dxa"/>
          <w:bottom w:w="0" w:type="dxa"/>
          <w:right w:w="108" w:type="dxa"/>
        </w:tblCellMar>
        <w:tblLook w:val="0400"/>
      </w:tblPr>
      <w:tblGrid>
        <w:gridCol w:w="1384"/>
        <w:gridCol w:w="1383"/>
        <w:gridCol w:w="1385"/>
        <w:gridCol w:w="1384"/>
        <w:gridCol w:w="1383"/>
        <w:gridCol w:w="1384"/>
      </w:tblGrid>
      <w:tr>
        <w:trPr>
          <w:tblHeader w:val="true"/>
          <w:cantSplit w:val="true"/>
        </w:trPr>
        <w:tc>
          <w:tcPr>
            <w:tcW w:w="1384"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Category</w:t>
            </w:r>
          </w:p>
        </w:tc>
        <w:tc>
          <w:tcPr>
            <w:tcW w:w="1383"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Biology</w:t>
            </w:r>
          </w:p>
        </w:tc>
        <w:tc>
          <w:tcPr>
            <w:tcW w:w="1385"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Veterinary Medicine</w:t>
            </w:r>
          </w:p>
        </w:tc>
        <w:tc>
          <w:tcPr>
            <w:tcW w:w="1384"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Animal Science</w:t>
            </w:r>
          </w:p>
        </w:tc>
        <w:tc>
          <w:tcPr>
            <w:tcW w:w="1383"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Crop Science</w:t>
            </w:r>
          </w:p>
        </w:tc>
        <w:tc>
          <w:tcPr>
            <w:tcW w:w="1384"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Total</w:t>
            </w:r>
          </w:p>
        </w:tc>
      </w:tr>
      <w:tr>
        <w:trPr>
          <w:cantSplit w:val="true"/>
        </w:trPr>
        <w:tc>
          <w:tcPr>
            <w:tcW w:w="1384" w:type="dxa"/>
            <w:tcBorders/>
          </w:tcPr>
          <w:p>
            <w:pPr>
              <w:pStyle w:val="normal1"/>
              <w:spacing w:lineRule="auto" w:line="480" w:before="0" w:after="0"/>
              <w:rPr>
                <w:sz w:val="18"/>
                <w:szCs w:val="18"/>
              </w:rPr>
            </w:pPr>
            <w:r>
              <w:rPr>
                <w:i w:val="false"/>
                <w:iCs w:val="false"/>
                <w:sz w:val="18"/>
                <w:szCs w:val="18"/>
              </w:rPr>
              <w:t>Total repository</w:t>
            </w:r>
          </w:p>
        </w:tc>
        <w:tc>
          <w:tcPr>
            <w:tcW w:w="1383" w:type="dxa"/>
            <w:tcBorders/>
          </w:tcPr>
          <w:p>
            <w:pPr>
              <w:pStyle w:val="normal1"/>
              <w:spacing w:lineRule="auto" w:line="480" w:before="0" w:after="0"/>
              <w:rPr>
                <w:sz w:val="18"/>
                <w:szCs w:val="18"/>
              </w:rPr>
            </w:pPr>
            <w:r>
              <w:rPr>
                <w:i w:val="false"/>
                <w:iCs w:val="false"/>
                <w:sz w:val="18"/>
                <w:szCs w:val="18"/>
              </w:rPr>
              <w:t>275</w:t>
            </w:r>
          </w:p>
        </w:tc>
        <w:tc>
          <w:tcPr>
            <w:tcW w:w="1385" w:type="dxa"/>
            <w:tcBorders/>
          </w:tcPr>
          <w:p>
            <w:pPr>
              <w:pStyle w:val="normal1"/>
              <w:spacing w:lineRule="auto" w:line="480" w:before="0" w:after="0"/>
              <w:rPr>
                <w:sz w:val="18"/>
                <w:szCs w:val="18"/>
              </w:rPr>
            </w:pPr>
            <w:r>
              <w:rPr>
                <w:i w:val="false"/>
                <w:iCs w:val="false"/>
                <w:sz w:val="18"/>
                <w:szCs w:val="18"/>
              </w:rPr>
              <w:t>206</w:t>
            </w:r>
          </w:p>
        </w:tc>
        <w:tc>
          <w:tcPr>
            <w:tcW w:w="1384" w:type="dxa"/>
            <w:tcBorders/>
          </w:tcPr>
          <w:p>
            <w:pPr>
              <w:pStyle w:val="normal1"/>
              <w:spacing w:lineRule="auto" w:line="480" w:before="0" w:after="0"/>
              <w:rPr>
                <w:sz w:val="18"/>
                <w:szCs w:val="18"/>
              </w:rPr>
            </w:pPr>
            <w:r>
              <w:rPr>
                <w:i w:val="false"/>
                <w:iCs w:val="false"/>
                <w:sz w:val="18"/>
                <w:szCs w:val="18"/>
              </w:rPr>
              <w:t>131</w:t>
            </w:r>
          </w:p>
        </w:tc>
        <w:tc>
          <w:tcPr>
            <w:tcW w:w="1383" w:type="dxa"/>
            <w:tcBorders/>
          </w:tcPr>
          <w:p>
            <w:pPr>
              <w:pStyle w:val="normal1"/>
              <w:spacing w:lineRule="auto" w:line="480" w:before="0" w:after="0"/>
              <w:rPr>
                <w:sz w:val="18"/>
                <w:szCs w:val="18"/>
              </w:rPr>
            </w:pPr>
            <w:r>
              <w:rPr>
                <w:i w:val="false"/>
                <w:iCs w:val="false"/>
                <w:sz w:val="18"/>
                <w:szCs w:val="18"/>
              </w:rPr>
              <w:t>216</w:t>
            </w:r>
          </w:p>
        </w:tc>
        <w:tc>
          <w:tcPr>
            <w:tcW w:w="1384" w:type="dxa"/>
            <w:tcBorders/>
          </w:tcPr>
          <w:p>
            <w:pPr>
              <w:pStyle w:val="normal1"/>
              <w:spacing w:lineRule="auto" w:line="480" w:before="0" w:after="0"/>
              <w:rPr>
                <w:sz w:val="18"/>
                <w:szCs w:val="18"/>
              </w:rPr>
            </w:pPr>
            <w:r>
              <w:rPr>
                <w:i w:val="false"/>
                <w:iCs w:val="false"/>
                <w:sz w:val="18"/>
                <w:szCs w:val="18"/>
              </w:rPr>
              <w:t>828</w:t>
            </w:r>
          </w:p>
        </w:tc>
      </w:tr>
      <w:tr>
        <w:trPr>
          <w:cantSplit w:val="true"/>
        </w:trPr>
        <w:tc>
          <w:tcPr>
            <w:tcW w:w="1384" w:type="dxa"/>
            <w:tcBorders/>
          </w:tcPr>
          <w:p>
            <w:pPr>
              <w:pStyle w:val="normal1"/>
              <w:spacing w:lineRule="auto" w:line="480" w:before="0" w:after="0"/>
              <w:rPr>
                <w:sz w:val="18"/>
                <w:szCs w:val="18"/>
              </w:rPr>
            </w:pPr>
            <w:r>
              <w:rPr>
                <w:sz w:val="18"/>
                <w:szCs w:val="18"/>
              </w:rPr>
              <w:t>2023-2025 (target pool)</w:t>
            </w:r>
          </w:p>
        </w:tc>
        <w:tc>
          <w:tcPr>
            <w:tcW w:w="1383" w:type="dxa"/>
            <w:tcBorders/>
          </w:tcPr>
          <w:p>
            <w:pPr>
              <w:pStyle w:val="normal1"/>
              <w:spacing w:lineRule="auto" w:line="480" w:before="0" w:after="0"/>
              <w:rPr>
                <w:sz w:val="18"/>
                <w:szCs w:val="18"/>
              </w:rPr>
            </w:pPr>
            <w:r>
              <w:rPr>
                <w:i w:val="false"/>
                <w:iCs w:val="false"/>
                <w:sz w:val="18"/>
                <w:szCs w:val="18"/>
              </w:rPr>
              <w:t>145</w:t>
            </w:r>
          </w:p>
        </w:tc>
        <w:tc>
          <w:tcPr>
            <w:tcW w:w="1385" w:type="dxa"/>
            <w:tcBorders/>
          </w:tcPr>
          <w:p>
            <w:pPr>
              <w:pStyle w:val="normal1"/>
              <w:spacing w:lineRule="auto" w:line="480" w:before="0" w:after="0"/>
              <w:rPr>
                <w:sz w:val="18"/>
                <w:szCs w:val="18"/>
              </w:rPr>
            </w:pPr>
            <w:r>
              <w:rPr>
                <w:i w:val="false"/>
                <w:iCs w:val="false"/>
                <w:sz w:val="18"/>
                <w:szCs w:val="18"/>
              </w:rPr>
              <w:t>104</w:t>
            </w:r>
          </w:p>
        </w:tc>
        <w:tc>
          <w:tcPr>
            <w:tcW w:w="1384" w:type="dxa"/>
            <w:tcBorders/>
          </w:tcPr>
          <w:p>
            <w:pPr>
              <w:pStyle w:val="normal1"/>
              <w:spacing w:lineRule="auto" w:line="480" w:before="0" w:after="0"/>
              <w:rPr>
                <w:sz w:val="18"/>
                <w:szCs w:val="18"/>
              </w:rPr>
            </w:pPr>
            <w:r>
              <w:rPr>
                <w:i w:val="false"/>
                <w:iCs w:val="false"/>
                <w:sz w:val="18"/>
                <w:szCs w:val="18"/>
              </w:rPr>
              <w:t>38</w:t>
            </w:r>
          </w:p>
        </w:tc>
        <w:tc>
          <w:tcPr>
            <w:tcW w:w="1383" w:type="dxa"/>
            <w:tcBorders/>
          </w:tcPr>
          <w:p>
            <w:pPr>
              <w:pStyle w:val="normal1"/>
              <w:spacing w:lineRule="auto" w:line="480" w:before="0" w:after="0"/>
              <w:rPr>
                <w:sz w:val="18"/>
                <w:szCs w:val="18"/>
              </w:rPr>
            </w:pPr>
            <w:r>
              <w:rPr>
                <w:i w:val="false"/>
                <w:iCs w:val="false"/>
                <w:sz w:val="18"/>
                <w:szCs w:val="18"/>
              </w:rPr>
              <w:t>94</w:t>
            </w:r>
          </w:p>
        </w:tc>
        <w:tc>
          <w:tcPr>
            <w:tcW w:w="1384" w:type="dxa"/>
            <w:tcBorders/>
          </w:tcPr>
          <w:p>
            <w:pPr>
              <w:pStyle w:val="normal1"/>
              <w:spacing w:lineRule="auto" w:line="480" w:before="0" w:after="0"/>
              <w:rPr>
                <w:sz w:val="18"/>
                <w:szCs w:val="18"/>
              </w:rPr>
            </w:pPr>
            <w:r>
              <w:rPr>
                <w:i w:val="false"/>
                <w:iCs w:val="false"/>
                <w:sz w:val="18"/>
                <w:szCs w:val="18"/>
              </w:rPr>
              <w:t>381</w:t>
            </w:r>
          </w:p>
        </w:tc>
      </w:tr>
      <w:tr>
        <w:trPr>
          <w:cantSplit w:val="true"/>
        </w:trPr>
        <w:tc>
          <w:tcPr>
            <w:tcW w:w="1384" w:type="dxa"/>
            <w:tcBorders/>
          </w:tcPr>
          <w:p>
            <w:pPr>
              <w:pStyle w:val="normal1"/>
              <w:spacing w:lineRule="auto" w:line="480" w:before="0" w:after="0"/>
              <w:rPr>
                <w:sz w:val="18"/>
                <w:szCs w:val="18"/>
              </w:rPr>
            </w:pPr>
            <w:r>
              <w:rPr>
                <w:i w:val="false"/>
                <w:iCs w:val="false"/>
                <w:sz w:val="18"/>
                <w:szCs w:val="18"/>
              </w:rPr>
              <w:t>Pre-2023 (excluded pool)</w:t>
            </w:r>
          </w:p>
        </w:tc>
        <w:tc>
          <w:tcPr>
            <w:tcW w:w="1383" w:type="dxa"/>
            <w:tcBorders/>
          </w:tcPr>
          <w:p>
            <w:pPr>
              <w:pStyle w:val="normal1"/>
              <w:spacing w:lineRule="auto" w:line="480" w:before="0" w:after="0"/>
              <w:rPr>
                <w:sz w:val="18"/>
                <w:szCs w:val="18"/>
              </w:rPr>
            </w:pPr>
            <w:r>
              <w:rPr>
                <w:i w:val="false"/>
                <w:iCs w:val="false"/>
                <w:sz w:val="18"/>
                <w:szCs w:val="18"/>
              </w:rPr>
              <w:t>130</w:t>
            </w:r>
          </w:p>
        </w:tc>
        <w:tc>
          <w:tcPr>
            <w:tcW w:w="1385" w:type="dxa"/>
            <w:tcBorders/>
          </w:tcPr>
          <w:p>
            <w:pPr>
              <w:pStyle w:val="normal1"/>
              <w:spacing w:lineRule="auto" w:line="480" w:before="0" w:after="0"/>
              <w:rPr>
                <w:sz w:val="18"/>
                <w:szCs w:val="18"/>
              </w:rPr>
            </w:pPr>
            <w:r>
              <w:rPr>
                <w:i w:val="false"/>
                <w:iCs w:val="false"/>
                <w:sz w:val="18"/>
                <w:szCs w:val="18"/>
              </w:rPr>
              <w:t>102</w:t>
            </w:r>
          </w:p>
        </w:tc>
        <w:tc>
          <w:tcPr>
            <w:tcW w:w="1384" w:type="dxa"/>
            <w:tcBorders/>
          </w:tcPr>
          <w:p>
            <w:pPr>
              <w:pStyle w:val="normal1"/>
              <w:spacing w:lineRule="auto" w:line="480" w:before="0" w:after="0"/>
              <w:rPr>
                <w:sz w:val="18"/>
                <w:szCs w:val="18"/>
              </w:rPr>
            </w:pPr>
            <w:r>
              <w:rPr>
                <w:i w:val="false"/>
                <w:iCs w:val="false"/>
                <w:sz w:val="18"/>
                <w:szCs w:val="18"/>
              </w:rPr>
              <w:t>93</w:t>
            </w:r>
          </w:p>
        </w:tc>
        <w:tc>
          <w:tcPr>
            <w:tcW w:w="1383" w:type="dxa"/>
            <w:tcBorders/>
          </w:tcPr>
          <w:p>
            <w:pPr>
              <w:pStyle w:val="normal1"/>
              <w:spacing w:lineRule="auto" w:line="480" w:before="0" w:after="0"/>
              <w:rPr>
                <w:sz w:val="18"/>
                <w:szCs w:val="18"/>
              </w:rPr>
            </w:pPr>
            <w:r>
              <w:rPr>
                <w:i w:val="false"/>
                <w:iCs w:val="false"/>
                <w:sz w:val="18"/>
                <w:szCs w:val="18"/>
              </w:rPr>
              <w:t>122</w:t>
            </w:r>
          </w:p>
        </w:tc>
        <w:tc>
          <w:tcPr>
            <w:tcW w:w="1384" w:type="dxa"/>
            <w:tcBorders/>
          </w:tcPr>
          <w:p>
            <w:pPr>
              <w:pStyle w:val="normal1"/>
              <w:spacing w:lineRule="auto" w:line="480" w:before="0" w:after="0"/>
              <w:rPr>
                <w:sz w:val="18"/>
                <w:szCs w:val="18"/>
              </w:rPr>
            </w:pPr>
            <w:r>
              <w:rPr>
                <w:i w:val="false"/>
                <w:iCs w:val="false"/>
                <w:sz w:val="18"/>
                <w:szCs w:val="18"/>
              </w:rPr>
              <w:t>447</w:t>
            </w:r>
          </w:p>
        </w:tc>
      </w:tr>
      <w:tr>
        <w:trPr>
          <w:cantSplit w:val="true"/>
        </w:trPr>
        <w:tc>
          <w:tcPr>
            <w:tcW w:w="1384" w:type="dxa"/>
            <w:tcBorders/>
          </w:tcPr>
          <w:p>
            <w:pPr>
              <w:pStyle w:val="normal1"/>
              <w:spacing w:lineRule="auto" w:line="480" w:before="0" w:after="0"/>
              <w:rPr>
                <w:sz w:val="18"/>
                <w:szCs w:val="18"/>
              </w:rPr>
            </w:pPr>
            <w:r>
              <w:rPr>
                <w:i w:val="false"/>
                <w:iCs w:val="false"/>
                <w:sz w:val="18"/>
                <w:szCs w:val="18"/>
              </w:rPr>
              <w:t>Pilot sample (pre-2023)</w:t>
            </w:r>
          </w:p>
        </w:tc>
        <w:tc>
          <w:tcPr>
            <w:tcW w:w="1383" w:type="dxa"/>
            <w:tcBorders/>
          </w:tcPr>
          <w:p>
            <w:pPr>
              <w:pStyle w:val="normal1"/>
              <w:spacing w:lineRule="auto" w:line="480" w:before="0" w:after="0"/>
              <w:rPr>
                <w:sz w:val="18"/>
                <w:szCs w:val="18"/>
              </w:rPr>
            </w:pPr>
            <w:r>
              <w:rPr>
                <w:i w:val="false"/>
                <w:iCs w:val="false"/>
                <w:sz w:val="18"/>
                <w:szCs w:val="18"/>
              </w:rPr>
              <w:t>1</w:t>
            </w:r>
          </w:p>
        </w:tc>
        <w:tc>
          <w:tcPr>
            <w:tcW w:w="1385" w:type="dxa"/>
            <w:tcBorders/>
          </w:tcPr>
          <w:p>
            <w:pPr>
              <w:pStyle w:val="normal1"/>
              <w:spacing w:lineRule="auto" w:line="480" w:before="0" w:after="0"/>
              <w:rPr>
                <w:sz w:val="18"/>
                <w:szCs w:val="18"/>
              </w:rPr>
            </w:pPr>
            <w:r>
              <w:rPr>
                <w:i w:val="false"/>
                <w:iCs w:val="false"/>
                <w:sz w:val="18"/>
                <w:szCs w:val="18"/>
              </w:rPr>
              <w:t>1</w:t>
            </w:r>
          </w:p>
        </w:tc>
        <w:tc>
          <w:tcPr>
            <w:tcW w:w="1384" w:type="dxa"/>
            <w:tcBorders/>
          </w:tcPr>
          <w:p>
            <w:pPr>
              <w:pStyle w:val="normal1"/>
              <w:spacing w:lineRule="auto" w:line="480" w:before="0" w:after="0"/>
              <w:rPr>
                <w:sz w:val="18"/>
                <w:szCs w:val="18"/>
              </w:rPr>
            </w:pPr>
            <w:r>
              <w:rPr>
                <w:i w:val="false"/>
                <w:iCs w:val="false"/>
                <w:sz w:val="18"/>
                <w:szCs w:val="18"/>
              </w:rPr>
              <w:t>1</w:t>
            </w:r>
          </w:p>
        </w:tc>
        <w:tc>
          <w:tcPr>
            <w:tcW w:w="1383" w:type="dxa"/>
            <w:tcBorders/>
          </w:tcPr>
          <w:p>
            <w:pPr>
              <w:pStyle w:val="normal1"/>
              <w:spacing w:lineRule="auto" w:line="480" w:before="0" w:after="0"/>
              <w:rPr>
                <w:sz w:val="18"/>
                <w:szCs w:val="18"/>
              </w:rPr>
            </w:pPr>
            <w:r>
              <w:rPr>
                <w:i w:val="false"/>
                <w:iCs w:val="false"/>
                <w:sz w:val="18"/>
                <w:szCs w:val="18"/>
              </w:rPr>
              <w:t>1</w:t>
            </w:r>
          </w:p>
        </w:tc>
        <w:tc>
          <w:tcPr>
            <w:tcW w:w="1384" w:type="dxa"/>
            <w:tcBorders/>
          </w:tcPr>
          <w:p>
            <w:pPr>
              <w:pStyle w:val="normal1"/>
              <w:spacing w:lineRule="auto" w:line="480" w:before="0" w:after="0"/>
              <w:rPr>
                <w:sz w:val="18"/>
                <w:szCs w:val="18"/>
              </w:rPr>
            </w:pPr>
            <w:r>
              <w:rPr>
                <w:i w:val="false"/>
                <w:iCs w:val="false"/>
                <w:sz w:val="18"/>
                <w:szCs w:val="18"/>
              </w:rPr>
              <w:t>4</w:t>
            </w:r>
          </w:p>
        </w:tc>
      </w:tr>
      <w:tr>
        <w:trPr>
          <w:cantSplit w:val="true"/>
        </w:trPr>
        <w:tc>
          <w:tcPr>
            <w:tcW w:w="1384" w:type="dxa"/>
            <w:tcBorders>
              <w:bottom w:val="single" w:sz="18" w:space="0" w:color="000000"/>
            </w:tcBorders>
          </w:tcPr>
          <w:p>
            <w:pPr>
              <w:pStyle w:val="normal1"/>
              <w:spacing w:lineRule="auto" w:line="480" w:before="0" w:after="0"/>
              <w:rPr>
                <w:sz w:val="18"/>
                <w:szCs w:val="18"/>
              </w:rPr>
            </w:pPr>
            <w:r>
              <w:rPr>
                <w:i w:val="false"/>
                <w:iCs w:val="false"/>
                <w:sz w:val="18"/>
                <w:szCs w:val="18"/>
              </w:rPr>
              <w:t>Main sample</w:t>
            </w:r>
          </w:p>
        </w:tc>
        <w:tc>
          <w:tcPr>
            <w:tcW w:w="1383" w:type="dxa"/>
            <w:tcBorders>
              <w:bottom w:val="single" w:sz="18" w:space="0" w:color="000000"/>
            </w:tcBorders>
          </w:tcPr>
          <w:p>
            <w:pPr>
              <w:pStyle w:val="normal1"/>
              <w:spacing w:lineRule="auto" w:line="480" w:before="0" w:after="0"/>
              <w:rPr>
                <w:sz w:val="18"/>
                <w:szCs w:val="18"/>
              </w:rPr>
            </w:pPr>
            <w:r>
              <w:rPr>
                <w:i w:val="false"/>
                <w:iCs w:val="false"/>
                <w:sz w:val="18"/>
                <w:szCs w:val="18"/>
              </w:rPr>
              <w:t>20</w:t>
            </w:r>
          </w:p>
        </w:tc>
        <w:tc>
          <w:tcPr>
            <w:tcW w:w="1385" w:type="dxa"/>
            <w:tcBorders>
              <w:bottom w:val="single" w:sz="18" w:space="0" w:color="000000"/>
            </w:tcBorders>
          </w:tcPr>
          <w:p>
            <w:pPr>
              <w:pStyle w:val="normal1"/>
              <w:spacing w:lineRule="auto" w:line="480" w:before="0" w:after="0"/>
              <w:rPr>
                <w:sz w:val="18"/>
                <w:szCs w:val="18"/>
              </w:rPr>
            </w:pPr>
            <w:r>
              <w:rPr>
                <w:i w:val="false"/>
                <w:iCs w:val="false"/>
                <w:sz w:val="18"/>
                <w:szCs w:val="18"/>
              </w:rPr>
              <w:t>20</w:t>
            </w:r>
          </w:p>
        </w:tc>
        <w:tc>
          <w:tcPr>
            <w:tcW w:w="1384" w:type="dxa"/>
            <w:tcBorders>
              <w:bottom w:val="single" w:sz="18" w:space="0" w:color="000000"/>
            </w:tcBorders>
          </w:tcPr>
          <w:p>
            <w:pPr>
              <w:pStyle w:val="normal1"/>
              <w:spacing w:lineRule="auto" w:line="480" w:before="0" w:after="0"/>
              <w:rPr>
                <w:sz w:val="18"/>
                <w:szCs w:val="18"/>
              </w:rPr>
            </w:pPr>
            <w:r>
              <w:rPr>
                <w:i w:val="false"/>
                <w:iCs w:val="false"/>
                <w:sz w:val="18"/>
                <w:szCs w:val="18"/>
              </w:rPr>
              <w:t>10</w:t>
            </w:r>
          </w:p>
        </w:tc>
        <w:tc>
          <w:tcPr>
            <w:tcW w:w="1383" w:type="dxa"/>
            <w:tcBorders>
              <w:bottom w:val="single" w:sz="18" w:space="0" w:color="000000"/>
            </w:tcBorders>
          </w:tcPr>
          <w:p>
            <w:pPr>
              <w:pStyle w:val="normal1"/>
              <w:spacing w:lineRule="auto" w:line="480" w:before="0" w:after="0"/>
              <w:rPr>
                <w:sz w:val="18"/>
                <w:szCs w:val="18"/>
              </w:rPr>
            </w:pPr>
            <w:r>
              <w:rPr>
                <w:i w:val="false"/>
                <w:iCs w:val="false"/>
                <w:sz w:val="18"/>
                <w:szCs w:val="18"/>
              </w:rPr>
              <w:t>10</w:t>
            </w:r>
          </w:p>
        </w:tc>
        <w:tc>
          <w:tcPr>
            <w:tcW w:w="1384" w:type="dxa"/>
            <w:tcBorders>
              <w:bottom w:val="single" w:sz="18" w:space="0" w:color="000000"/>
            </w:tcBorders>
          </w:tcPr>
          <w:p>
            <w:pPr>
              <w:pStyle w:val="normal1"/>
              <w:spacing w:lineRule="auto" w:line="480" w:before="0" w:after="0"/>
              <w:rPr>
                <w:sz w:val="18"/>
                <w:szCs w:val="18"/>
              </w:rPr>
            </w:pPr>
            <w:r>
              <w:rPr>
                <w:i w:val="false"/>
                <w:iCs w:val="false"/>
                <w:sz w:val="18"/>
                <w:szCs w:val="18"/>
              </w:rPr>
              <w:t>60</w:t>
            </w:r>
          </w:p>
        </w:tc>
      </w:tr>
    </w:tbl>
    <w:p>
      <w:pPr>
        <w:pStyle w:val="normal1"/>
        <w:spacing w:lineRule="auto" w:line="480" w:before="240" w:after="0"/>
        <w:ind w:firstLine="720"/>
        <w:jc w:val="both"/>
        <w:rPr/>
      </w:pPr>
      <w:r>
        <w:rPr>
          <w:sz w:val="22"/>
          <w:szCs w:val="22"/>
        </w:rPr>
        <w:t>Table 1 presents the repository populations and the final sample distribution. The target pool for 2023-2025 totals 381 theses. Equal allocation gives each discipline a comparable sample size and keeps the smaller Animal Science population from being underrepresented. Pre-2023 theses (n=447) serve as the source pool for pilot abstracts to keep them distinct from the main study period.</w:t>
      </w:r>
    </w:p>
    <w:p>
      <w:pPr>
        <w:pStyle w:val="normal1"/>
        <w:spacing w:lineRule="auto" w:line="480" w:before="0" w:after="0"/>
        <w:ind w:firstLine="720"/>
        <w:jc w:val="both"/>
        <w:rPr/>
      </w:pPr>
      <w:r>
        <w:rPr>
          <w:b/>
          <w:bCs/>
          <w:sz w:val="22"/>
          <w:szCs w:val="22"/>
        </w:rPr>
        <w:t xml:space="preserve">Inclusion Criteria. </w:t>
      </w:r>
      <w:r>
        <w:rPr>
          <w:sz w:val="22"/>
          <w:szCs w:val="22"/>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pPr>
        <w:pStyle w:val="normal1"/>
        <w:keepLines/>
        <w:spacing w:lineRule="auto" w:line="480" w:before="0" w:after="0"/>
        <w:ind w:firstLine="720"/>
        <w:jc w:val="both"/>
        <w:rPr/>
      </w:pPr>
      <w:r>
        <w:rPr>
          <w:b/>
          <w:bCs/>
          <w:sz w:val="22"/>
          <w:szCs w:val="22"/>
        </w:rPr>
        <w:t xml:space="preserve">Exclusion Criteria. </w:t>
      </w:r>
      <w:r>
        <w:rPr>
          <w:sz w:val="22"/>
          <w:szCs w:val="22"/>
        </w:rPr>
        <w:t xml:space="preserve">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 </w:t>
      </w:r>
      <w:r>
        <w:rPr/>
        <w:t>or after 2025</w:t>
      </w:r>
      <w:r>
        <w:rPr>
          <w:sz w:val="22"/>
          <w:szCs w:val="22"/>
        </w:rPr>
        <w:t>.</w:t>
      </w:r>
    </w:p>
    <w:p>
      <w:pPr>
        <w:sectPr>
          <w:headerReference w:type="default" r:id="rId13"/>
          <w:headerReference w:type="first" r:id="rId14"/>
          <w:footerReference w:type="default" r:id="rId15"/>
          <w:footerReference w:type="first" r:id="rId16"/>
          <w:type w:val="nextPage"/>
          <w:pgSz w:w="11906" w:h="16838"/>
          <w:pgMar w:left="2160" w:right="1440" w:gutter="0" w:header="720" w:top="1440" w:footer="720" w:bottom="1440"/>
          <w:pgNumType w:fmt="decimal"/>
          <w:formProt w:val="false"/>
          <w:titlePg/>
          <w:textDirection w:val="lrTb"/>
          <w:docGrid w:type="default" w:linePitch="100" w:charSpace="4096"/>
        </w:sectPr>
        <w:pStyle w:val="normal1"/>
        <w:spacing w:lineRule="auto" w:line="480" w:before="0" w:after="0"/>
        <w:ind w:firstLine="720"/>
        <w:jc w:val="both"/>
        <w:rPr/>
      </w:pPr>
      <w:r>
        <w:rPr>
          <w:b/>
          <w:bCs/>
          <w:sz w:val="22"/>
          <w:szCs w:val="22"/>
        </w:rPr>
        <w:t>Ethical Considerations.</w:t>
      </w:r>
      <w:r>
        <w:rPr>
          <w:sz w:val="22"/>
          <w:szCs w:val="22"/>
        </w:rPr>
        <w:t xml:space="preserve"> 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pPr>
        <w:pStyle w:val="normal1"/>
        <w:spacing w:lineRule="auto" w:line="480" w:before="720" w:after="240"/>
        <w:ind w:hanging="0"/>
        <w:jc w:val="center"/>
        <w:rPr/>
      </w:pPr>
      <w:r>
        <w:rPr>
          <w:b/>
          <w:bCs/>
          <w:sz w:val="28"/>
          <w:szCs w:val="28"/>
        </w:rPr>
        <w:t>RESULTS, ANALYSIS, AND DISCUSSION</w:t>
      </w:r>
    </w:p>
    <w:p>
      <w:pPr>
        <w:pStyle w:val="normal1"/>
        <w:spacing w:lineRule="auto" w:line="480" w:before="0" w:after="0"/>
        <w:ind w:firstLine="720"/>
        <w:jc w:val="both"/>
        <w:rPr/>
      </w:pPr>
      <w:r>
        <w:rPr/>
      </w:r>
    </w:p>
    <w:p>
      <w:pPr>
        <w:pStyle w:val="normal1"/>
        <w:spacing w:lineRule="auto" w:line="480" w:before="0" w:after="0"/>
        <w:ind w:firstLine="720"/>
        <w:jc w:val="both"/>
        <w:rPr/>
      </w:pPr>
      <w:r>
        <w:rPr>
          <w:sz w:val="22"/>
          <w:szCs w:val="22"/>
        </w:rPr>
        <w:t>This chapter presents the results, analysis, and discussion of the hedging patterns identified in the 60 undergraduate thesis abstracts across Agriculture, Veterinary Medicine, and Biology at Pampanga State Agricultural University. The patterns are read as evidence of how these writers used English to manage claim strength in a short, supervised genre.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p>
    <w:p>
      <w:pPr>
        <w:pStyle w:val="normal1"/>
        <w:keepNext w:val="true"/>
        <w:spacing w:lineRule="auto" w:line="480" w:before="240" w:after="120"/>
        <w:ind w:hanging="0"/>
        <w:rPr/>
      </w:pPr>
      <w:r>
        <w:rPr>
          <w:b/>
          <w:bCs/>
          <w:sz w:val="24"/>
          <w:szCs w:val="24"/>
        </w:rPr>
        <w:t>Part I: The Formal Repertoire of Student Hedging</w:t>
      </w:r>
    </w:p>
    <w:p>
      <w:pPr>
        <w:pStyle w:val="normal1"/>
        <w:spacing w:lineRule="auto" w:line="480" w:before="0" w:after="0"/>
        <w:ind w:firstLine="720"/>
        <w:jc w:val="both"/>
        <w:rPr/>
      </w:pPr>
      <w:r>
        <w:rPr>
          <w:sz w:val="22"/>
          <w:szCs w:val="22"/>
        </w:rPr>
        <w:t>The coding identified 65 hedge tokens across the 60-abstract corpus, or about 1.08 hedges per abstract. That is about half the 2.04 hedges per abstract Hu and Cao (2011) reported for English-medium applied linguistics journals, though the field and writers differ. These tokens were classified into four types following Hyland’s (1998) taxonomy: modal verbs, lexical hedges, adverbial hedges, and clause-level hedges. Table 2 presents the distribution of hedge types across the full corpus.</w:t>
      </w:r>
      <w:r>
        <w:br w:type="page"/>
      </w:r>
    </w:p>
    <w:p>
      <w:pPr>
        <w:pStyle w:val="normal1"/>
        <w:keepNext w:val="true"/>
        <w:spacing w:lineRule="auto" w:line="480" w:before="720" w:after="0"/>
        <w:jc w:val="center"/>
        <w:rPr/>
      </w:pPr>
      <w:r>
        <w:rPr>
          <w:b/>
          <w:bCs/>
          <w:sz w:val="22"/>
          <w:szCs w:val="22"/>
        </w:rPr>
        <w:t>Table 2</w:t>
      </w:r>
    </w:p>
    <w:p>
      <w:pPr>
        <w:pStyle w:val="normal1"/>
        <w:keepNext w:val="true"/>
        <w:spacing w:lineRule="auto" w:line="480" w:before="0" w:after="60"/>
        <w:jc w:val="center"/>
        <w:rPr/>
      </w:pPr>
      <w:r>
        <w:rPr>
          <w:sz w:val="22"/>
          <w:szCs w:val="22"/>
        </w:rPr>
        <w:t>Hedge Type Distribution Across the Corpus</w:t>
      </w:r>
    </w:p>
    <w:tbl>
      <w:tblPr>
        <w:tblStyle w:val="Table2"/>
        <w:tblW w:w="8307" w:type="dxa"/>
        <w:jc w:val="left"/>
        <w:tblInd w:w="-115" w:type="dxa"/>
        <w:tblLayout w:type="fixed"/>
        <w:tblCellMar>
          <w:top w:w="0" w:type="dxa"/>
          <w:left w:w="108" w:type="dxa"/>
          <w:bottom w:w="0" w:type="dxa"/>
          <w:right w:w="108" w:type="dxa"/>
        </w:tblCellMar>
        <w:tblLook w:val="0400"/>
      </w:tblPr>
      <w:tblGrid>
        <w:gridCol w:w="2769"/>
        <w:gridCol w:w="2769"/>
        <w:gridCol w:w="2769"/>
      </w:tblGrid>
      <w:tr>
        <w:trPr>
          <w:tblHeader w:val="true"/>
          <w:cantSplit w:val="true"/>
        </w:trPr>
        <w:tc>
          <w:tcPr>
            <w:tcW w:w="2769"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Hedge Type</w:t>
            </w:r>
          </w:p>
        </w:tc>
        <w:tc>
          <w:tcPr>
            <w:tcW w:w="2769"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Count</w:t>
            </w:r>
          </w:p>
        </w:tc>
        <w:tc>
          <w:tcPr>
            <w:tcW w:w="2769"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Percentage</w:t>
            </w:r>
          </w:p>
        </w:tc>
      </w:tr>
      <w:tr>
        <w:trPr>
          <w:cantSplit w:val="true"/>
        </w:trPr>
        <w:tc>
          <w:tcPr>
            <w:tcW w:w="2769" w:type="dxa"/>
            <w:tcBorders/>
          </w:tcPr>
          <w:p>
            <w:pPr>
              <w:pStyle w:val="normal1"/>
              <w:spacing w:lineRule="auto" w:line="480" w:before="0" w:after="0"/>
              <w:rPr>
                <w:sz w:val="18"/>
                <w:szCs w:val="18"/>
              </w:rPr>
            </w:pPr>
            <w:r>
              <w:rPr>
                <w:i w:val="false"/>
                <w:iCs w:val="false"/>
                <w:sz w:val="18"/>
                <w:szCs w:val="18"/>
              </w:rPr>
              <w:t>Modal Verbs</w:t>
            </w:r>
          </w:p>
        </w:tc>
        <w:tc>
          <w:tcPr>
            <w:tcW w:w="2769" w:type="dxa"/>
            <w:tcBorders/>
          </w:tcPr>
          <w:p>
            <w:pPr>
              <w:pStyle w:val="normal1"/>
              <w:spacing w:lineRule="auto" w:line="480" w:before="0" w:after="0"/>
              <w:rPr>
                <w:sz w:val="18"/>
                <w:szCs w:val="18"/>
              </w:rPr>
            </w:pPr>
            <w:r>
              <w:rPr>
                <w:i w:val="false"/>
                <w:iCs w:val="false"/>
                <w:sz w:val="18"/>
                <w:szCs w:val="18"/>
              </w:rPr>
              <w:t>21</w:t>
            </w:r>
          </w:p>
        </w:tc>
        <w:tc>
          <w:tcPr>
            <w:tcW w:w="2769" w:type="dxa"/>
            <w:tcBorders/>
          </w:tcPr>
          <w:p>
            <w:pPr>
              <w:pStyle w:val="normal1"/>
              <w:spacing w:lineRule="auto" w:line="480" w:before="0" w:after="0"/>
              <w:rPr>
                <w:sz w:val="18"/>
                <w:szCs w:val="18"/>
              </w:rPr>
            </w:pPr>
            <w:r>
              <w:rPr>
                <w:i w:val="false"/>
                <w:iCs w:val="false"/>
                <w:sz w:val="18"/>
                <w:szCs w:val="18"/>
              </w:rPr>
              <w:t>32.3%</w:t>
            </w:r>
          </w:p>
        </w:tc>
      </w:tr>
      <w:tr>
        <w:trPr>
          <w:cantSplit w:val="true"/>
        </w:trPr>
        <w:tc>
          <w:tcPr>
            <w:tcW w:w="2769" w:type="dxa"/>
            <w:tcBorders/>
          </w:tcPr>
          <w:p>
            <w:pPr>
              <w:pStyle w:val="normal1"/>
              <w:spacing w:lineRule="auto" w:line="480" w:before="0" w:after="0"/>
              <w:rPr>
                <w:sz w:val="18"/>
                <w:szCs w:val="18"/>
              </w:rPr>
            </w:pPr>
            <w:r>
              <w:rPr>
                <w:i w:val="false"/>
                <w:iCs w:val="false"/>
                <w:sz w:val="18"/>
                <w:szCs w:val="18"/>
              </w:rPr>
              <w:t>Lexical Hedges</w:t>
            </w:r>
          </w:p>
        </w:tc>
        <w:tc>
          <w:tcPr>
            <w:tcW w:w="2769" w:type="dxa"/>
            <w:tcBorders/>
          </w:tcPr>
          <w:p>
            <w:pPr>
              <w:pStyle w:val="normal1"/>
              <w:spacing w:lineRule="auto" w:line="480" w:before="0" w:after="0"/>
              <w:rPr>
                <w:sz w:val="18"/>
                <w:szCs w:val="18"/>
              </w:rPr>
            </w:pPr>
            <w:r>
              <w:rPr>
                <w:i w:val="false"/>
                <w:iCs w:val="false"/>
                <w:sz w:val="18"/>
                <w:szCs w:val="18"/>
              </w:rPr>
              <w:t>41</w:t>
            </w:r>
          </w:p>
        </w:tc>
        <w:tc>
          <w:tcPr>
            <w:tcW w:w="2769" w:type="dxa"/>
            <w:tcBorders/>
          </w:tcPr>
          <w:p>
            <w:pPr>
              <w:pStyle w:val="normal1"/>
              <w:spacing w:lineRule="auto" w:line="480" w:before="0" w:after="0"/>
              <w:rPr>
                <w:sz w:val="18"/>
                <w:szCs w:val="18"/>
              </w:rPr>
            </w:pPr>
            <w:r>
              <w:rPr>
                <w:i w:val="false"/>
                <w:iCs w:val="false"/>
                <w:sz w:val="18"/>
                <w:szCs w:val="18"/>
              </w:rPr>
              <w:t>63.1%</w:t>
            </w:r>
          </w:p>
        </w:tc>
      </w:tr>
      <w:tr>
        <w:trPr>
          <w:cantSplit w:val="true"/>
        </w:trPr>
        <w:tc>
          <w:tcPr>
            <w:tcW w:w="2769" w:type="dxa"/>
            <w:tcBorders/>
          </w:tcPr>
          <w:p>
            <w:pPr>
              <w:pStyle w:val="normal1"/>
              <w:spacing w:lineRule="auto" w:line="480" w:before="0" w:after="0"/>
              <w:rPr>
                <w:sz w:val="18"/>
                <w:szCs w:val="18"/>
              </w:rPr>
            </w:pPr>
            <w:r>
              <w:rPr>
                <w:i w:val="false"/>
                <w:iCs w:val="false"/>
                <w:sz w:val="18"/>
                <w:szCs w:val="18"/>
              </w:rPr>
              <w:t>Adverbial Hedges</w:t>
            </w:r>
          </w:p>
        </w:tc>
        <w:tc>
          <w:tcPr>
            <w:tcW w:w="2769" w:type="dxa"/>
            <w:tcBorders/>
          </w:tcPr>
          <w:p>
            <w:pPr>
              <w:pStyle w:val="normal1"/>
              <w:spacing w:lineRule="auto" w:line="480" w:before="0" w:after="0"/>
              <w:rPr>
                <w:sz w:val="18"/>
                <w:szCs w:val="18"/>
              </w:rPr>
            </w:pPr>
            <w:r>
              <w:rPr>
                <w:i w:val="false"/>
                <w:iCs w:val="false"/>
                <w:sz w:val="18"/>
                <w:szCs w:val="18"/>
              </w:rPr>
              <w:t>3</w:t>
            </w:r>
          </w:p>
        </w:tc>
        <w:tc>
          <w:tcPr>
            <w:tcW w:w="2769" w:type="dxa"/>
            <w:tcBorders/>
          </w:tcPr>
          <w:p>
            <w:pPr>
              <w:pStyle w:val="normal1"/>
              <w:spacing w:lineRule="auto" w:line="480" w:before="0" w:after="0"/>
              <w:rPr>
                <w:sz w:val="18"/>
                <w:szCs w:val="18"/>
              </w:rPr>
            </w:pPr>
            <w:r>
              <w:rPr>
                <w:i w:val="false"/>
                <w:iCs w:val="false"/>
                <w:sz w:val="18"/>
                <w:szCs w:val="18"/>
              </w:rPr>
              <w:t>4.6%</w:t>
            </w:r>
          </w:p>
        </w:tc>
      </w:tr>
      <w:tr>
        <w:trPr>
          <w:cantSplit w:val="true"/>
        </w:trPr>
        <w:tc>
          <w:tcPr>
            <w:tcW w:w="2769" w:type="dxa"/>
            <w:tcBorders/>
          </w:tcPr>
          <w:p>
            <w:pPr>
              <w:pStyle w:val="normal1"/>
              <w:spacing w:lineRule="auto" w:line="480" w:before="0" w:after="0"/>
              <w:rPr>
                <w:sz w:val="18"/>
                <w:szCs w:val="18"/>
              </w:rPr>
            </w:pPr>
            <w:r>
              <w:rPr>
                <w:i w:val="false"/>
                <w:iCs w:val="false"/>
                <w:sz w:val="18"/>
                <w:szCs w:val="18"/>
              </w:rPr>
              <w:t>Clause-Level Hedges</w:t>
            </w:r>
          </w:p>
        </w:tc>
        <w:tc>
          <w:tcPr>
            <w:tcW w:w="2769" w:type="dxa"/>
            <w:tcBorders/>
          </w:tcPr>
          <w:p>
            <w:pPr>
              <w:pStyle w:val="normal1"/>
              <w:spacing w:lineRule="auto" w:line="480" w:before="0" w:after="0"/>
              <w:rPr>
                <w:sz w:val="18"/>
                <w:szCs w:val="18"/>
              </w:rPr>
            </w:pPr>
            <w:r>
              <w:rPr>
                <w:i w:val="false"/>
                <w:iCs w:val="false"/>
                <w:sz w:val="18"/>
                <w:szCs w:val="18"/>
              </w:rPr>
              <w:t>0</w:t>
            </w:r>
          </w:p>
        </w:tc>
        <w:tc>
          <w:tcPr>
            <w:tcW w:w="2769" w:type="dxa"/>
            <w:tcBorders/>
          </w:tcPr>
          <w:p>
            <w:pPr>
              <w:pStyle w:val="normal1"/>
              <w:spacing w:lineRule="auto" w:line="480" w:before="0" w:after="0"/>
              <w:rPr>
                <w:sz w:val="18"/>
                <w:szCs w:val="18"/>
              </w:rPr>
            </w:pPr>
            <w:r>
              <w:rPr>
                <w:i w:val="false"/>
                <w:iCs w:val="false"/>
                <w:sz w:val="18"/>
                <w:szCs w:val="18"/>
              </w:rPr>
              <w:t>0.0%</w:t>
            </w:r>
          </w:p>
        </w:tc>
      </w:tr>
      <w:tr>
        <w:trPr>
          <w:cantSplit w:val="true"/>
        </w:trPr>
        <w:tc>
          <w:tcPr>
            <w:tcW w:w="2769" w:type="dxa"/>
            <w:tcBorders>
              <w:bottom w:val="single" w:sz="18" w:space="0" w:color="000000"/>
            </w:tcBorders>
          </w:tcPr>
          <w:p>
            <w:pPr>
              <w:pStyle w:val="normal1"/>
              <w:spacing w:lineRule="auto" w:line="480" w:before="0" w:after="0"/>
              <w:rPr>
                <w:sz w:val="18"/>
                <w:szCs w:val="18"/>
              </w:rPr>
            </w:pPr>
            <w:r>
              <w:rPr>
                <w:i w:val="false"/>
                <w:iCs w:val="false"/>
                <w:sz w:val="18"/>
                <w:szCs w:val="18"/>
              </w:rPr>
              <w:t>Total</w:t>
            </w:r>
          </w:p>
        </w:tc>
        <w:tc>
          <w:tcPr>
            <w:tcW w:w="2769" w:type="dxa"/>
            <w:tcBorders>
              <w:bottom w:val="single" w:sz="18" w:space="0" w:color="000000"/>
            </w:tcBorders>
          </w:tcPr>
          <w:p>
            <w:pPr>
              <w:pStyle w:val="normal1"/>
              <w:spacing w:lineRule="auto" w:line="480" w:before="0" w:after="0"/>
              <w:rPr>
                <w:sz w:val="18"/>
                <w:szCs w:val="18"/>
              </w:rPr>
            </w:pPr>
            <w:r>
              <w:rPr>
                <w:i w:val="false"/>
                <w:iCs w:val="false"/>
                <w:sz w:val="18"/>
                <w:szCs w:val="18"/>
              </w:rPr>
              <w:t>65</w:t>
            </w:r>
          </w:p>
        </w:tc>
        <w:tc>
          <w:tcPr>
            <w:tcW w:w="2769" w:type="dxa"/>
            <w:tcBorders>
              <w:bottom w:val="single" w:sz="18" w:space="0" w:color="000000"/>
            </w:tcBorders>
          </w:tcPr>
          <w:p>
            <w:pPr>
              <w:pStyle w:val="normal1"/>
              <w:spacing w:lineRule="auto" w:line="480" w:before="0" w:after="0"/>
              <w:rPr>
                <w:sz w:val="18"/>
                <w:szCs w:val="18"/>
              </w:rPr>
            </w:pPr>
            <w:r>
              <w:rPr>
                <w:i w:val="false"/>
                <w:iCs w:val="false"/>
                <w:sz w:val="18"/>
                <w:szCs w:val="18"/>
              </w:rPr>
              <w:t>100.0%</w:t>
            </w:r>
          </w:p>
        </w:tc>
      </w:tr>
    </w:tbl>
    <w:p>
      <w:pPr>
        <w:pStyle w:val="normal1"/>
        <w:spacing w:lineRule="auto" w:line="480" w:before="240" w:after="0"/>
        <w:ind w:firstLine="720"/>
        <w:jc w:val="both"/>
        <w:rPr/>
      </w:pPr>
      <w:r>
        <w:rPr>
          <w:sz w:val="22"/>
          <w:szCs w:val="22"/>
        </w:rPr>
        <w:t>Table 2 presents the overall distribution of hedge types. Lexical hedges dominated the corpus with 41 instances (63.1%), followed by modal verbs with 21 instances (32.3%), and adverbial hedges with 3 instances (4.6%). No clause-level hedges were identified in any of the 60 abstracts. The literature reports modal verbs as the most frequent hedge type in developing researchers' writing (Khunasathitchai et al., 2025; Wang, 2022). This corpus differs: lexical hedges outnumber modal verbs.</w:t>
      </w:r>
    </w:p>
    <w:p>
      <w:pPr>
        <w:pStyle w:val="normal1"/>
        <w:spacing w:lineRule="auto" w:line="480" w:before="0" w:after="0"/>
        <w:ind w:firstLine="720"/>
        <w:jc w:val="both"/>
        <w:rPr/>
      </w:pPr>
      <w:r>
        <w:rPr>
          <w:sz w:val="22"/>
          <w:szCs w:val="22"/>
        </w:rPr>
        <w:t>Within the lexical hedge category, the token “</w:t>
      </w:r>
      <w:r>
        <w:rPr>
          <w:i/>
          <w:iCs/>
          <w:sz w:val="22"/>
          <w:szCs w:val="22"/>
        </w:rPr>
        <w:t>potential</w:t>
      </w:r>
      <w:r>
        <w:rPr>
          <w:sz w:val="22"/>
          <w:szCs w:val="22"/>
        </w:rPr>
        <w:t>” accounted for 19 of the 41 lexical instances (46.3%), the single most frequent hedge token in the corpus. Other frequent lexical forms, grouped by root, included “</w:t>
      </w:r>
      <w:r>
        <w:rPr>
          <w:i/>
          <w:iCs/>
          <w:sz w:val="22"/>
          <w:szCs w:val="22"/>
        </w:rPr>
        <w:t>suggest / suggests / suggesting</w:t>
      </w:r>
      <w:r>
        <w:rPr>
          <w:sz w:val="22"/>
          <w:szCs w:val="22"/>
        </w:rPr>
        <w:t>” (13), “</w:t>
      </w:r>
      <w:r>
        <w:rPr>
          <w:i/>
          <w:iCs/>
          <w:sz w:val="22"/>
          <w:szCs w:val="22"/>
        </w:rPr>
        <w:t>imply / implies / implying</w:t>
      </w:r>
      <w:r>
        <w:rPr>
          <w:sz w:val="22"/>
          <w:szCs w:val="22"/>
        </w:rPr>
        <w:t>” (3), and “</w:t>
      </w:r>
      <w:r>
        <w:rPr>
          <w:i/>
          <w:iCs/>
          <w:sz w:val="22"/>
          <w:szCs w:val="22"/>
        </w:rPr>
        <w:t>indicating</w:t>
      </w:r>
      <w:r>
        <w:rPr>
          <w:sz w:val="22"/>
          <w:szCs w:val="22"/>
        </w:rPr>
        <w:t>” (2). Modal verbs were led by “</w:t>
      </w:r>
      <w:r>
        <w:rPr>
          <w:i/>
          <w:iCs/>
          <w:sz w:val="22"/>
          <w:szCs w:val="22"/>
        </w:rPr>
        <w:t>can</w:t>
      </w:r>
      <w:r>
        <w:rPr>
          <w:sz w:val="22"/>
          <w:szCs w:val="22"/>
        </w:rPr>
        <w:t>” (6), “</w:t>
      </w:r>
      <w:r>
        <w:rPr>
          <w:i/>
          <w:iCs/>
          <w:sz w:val="22"/>
          <w:szCs w:val="22"/>
        </w:rPr>
        <w:t>could</w:t>
      </w:r>
      <w:r>
        <w:rPr>
          <w:sz w:val="22"/>
          <w:szCs w:val="22"/>
        </w:rPr>
        <w:t>” (6), “</w:t>
      </w:r>
      <w:r>
        <w:rPr>
          <w:i/>
          <w:iCs/>
          <w:sz w:val="22"/>
          <w:szCs w:val="22"/>
        </w:rPr>
        <w:t>may</w:t>
      </w:r>
      <w:r>
        <w:rPr>
          <w:sz w:val="22"/>
          <w:szCs w:val="22"/>
        </w:rPr>
        <w:t>” (6), and “</w:t>
      </w:r>
      <w:r>
        <w:rPr>
          <w:i/>
          <w:iCs/>
          <w:sz w:val="22"/>
          <w:szCs w:val="22"/>
        </w:rPr>
        <w:t>might</w:t>
      </w:r>
      <w:r>
        <w:rPr>
          <w:sz w:val="22"/>
          <w:szCs w:val="22"/>
        </w:rPr>
        <w:t xml:space="preserve">” (3). </w:t>
      </w:r>
      <w:r>
        <w:rPr/>
        <w:t>The</w:t>
      </w:r>
      <w:r>
        <w:rPr>
          <w:sz w:val="22"/>
          <w:szCs w:val="22"/>
        </w:rPr>
        <w:t xml:space="preserve"> 19 </w:t>
      </w:r>
      <w:r>
        <w:rPr>
          <w:i/>
          <w:iCs/>
          <w:sz w:val="22"/>
          <w:szCs w:val="22"/>
        </w:rPr>
        <w:t>potential</w:t>
      </w:r>
      <w:r>
        <w:rPr>
          <w:sz w:val="22"/>
          <w:szCs w:val="22"/>
        </w:rPr>
        <w:t xml:space="preserve"> instances </w:t>
      </w:r>
      <w:r>
        <w:rPr/>
        <w:t>show</w:t>
      </w:r>
      <w:r>
        <w:rPr>
          <w:sz w:val="22"/>
          <w:szCs w:val="22"/>
        </w:rPr>
        <w:t xml:space="preserve"> recurring frames such as “</w:t>
      </w:r>
      <w:r>
        <w:rPr>
          <w:i/>
          <w:iCs/>
          <w:sz w:val="22"/>
          <w:szCs w:val="22"/>
        </w:rPr>
        <w:t>the potential of X as a Y</w:t>
      </w:r>
      <w:r>
        <w:rPr>
          <w:sz w:val="22"/>
          <w:szCs w:val="22"/>
        </w:rPr>
        <w:t>,” “</w:t>
      </w:r>
      <w:r>
        <w:rPr>
          <w:i/>
          <w:iCs/>
          <w:sz w:val="22"/>
          <w:szCs w:val="22"/>
        </w:rPr>
        <w:t>has potential as an X</w:t>
      </w:r>
      <w:r>
        <w:rPr>
          <w:sz w:val="22"/>
          <w:szCs w:val="22"/>
        </w:rPr>
        <w:t>,” and “</w:t>
      </w:r>
      <w:r>
        <w:rPr>
          <w:i/>
          <w:iCs/>
          <w:sz w:val="22"/>
          <w:szCs w:val="22"/>
        </w:rPr>
        <w:t>highlight their potential as X</w:t>
      </w:r>
      <w:r>
        <w:rPr>
          <w:sz w:val="22"/>
          <w:szCs w:val="22"/>
        </w:rPr>
        <w:t xml:space="preserve">.” Whether those uses express epistemic caution or topic-naming evaluation remains a boundary judgment under the Working Test and is open to alternative readings. Without these 19 tokens, lexical hedges number 22 against 21 modal verbs, so the lexical lead rests on how “potential” is read. Agriculture and Biology account for 15 of the 19 instances. Veterinary Medicine accounts for 4. In scientific English, however, content-oriented lexical hedges often carry more of the epistemic load than modals alone (Hyland, 1998). The dominance of </w:t>
      </w:r>
      <w:r>
        <w:rPr>
          <w:i/>
          <w:iCs/>
          <w:sz w:val="22"/>
          <w:szCs w:val="22"/>
        </w:rPr>
        <w:t>potential</w:t>
      </w:r>
      <w:r>
        <w:rPr>
          <w:sz w:val="22"/>
          <w:szCs w:val="22"/>
        </w:rPr>
        <w:t xml:space="preserve"> fits that pattern in applied-life-science abstracts. Writers reach for a ready English formula that softens application claims (“has potential as…”, “highlight their potential as…”) without building longer clause-level stance. Related work on scientific research writing supports a lexical emphasis. Hyland (1996b) shows that hedging in molecular biology articles is realized mainly by surface lexical forms, with epistemic lexical verbs the largest and most varied group and items such as </w:t>
      </w:r>
      <w:r>
        <w:rPr>
          <w:i/>
          <w:iCs/>
          <w:sz w:val="22"/>
          <w:szCs w:val="22"/>
        </w:rPr>
        <w:t>suggest</w:t>
      </w:r>
      <w:r>
        <w:rPr>
          <w:sz w:val="22"/>
          <w:szCs w:val="22"/>
        </w:rPr>
        <w:t xml:space="preserve"> and </w:t>
      </w:r>
      <w:r>
        <w:rPr>
          <w:i/>
          <w:iCs/>
          <w:sz w:val="22"/>
          <w:szCs w:val="22"/>
        </w:rPr>
        <w:t>indicate</w:t>
      </w:r>
      <w:r>
        <w:rPr>
          <w:sz w:val="22"/>
          <w:szCs w:val="22"/>
        </w:rPr>
        <w:t xml:space="preserve"> among the most frequent. Biologists in that corpus also used fewer modal verbs than writers in general academic English. The present lexical-led profile, driven by </w:t>
      </w:r>
      <w:r>
        <w:rPr>
          <w:i/>
          <w:iCs/>
          <w:sz w:val="22"/>
          <w:szCs w:val="22"/>
        </w:rPr>
        <w:t>potential</w:t>
      </w:r>
      <w:r>
        <w:rPr>
          <w:sz w:val="22"/>
          <w:szCs w:val="22"/>
        </w:rPr>
        <w:t xml:space="preserve"> and </w:t>
      </w:r>
      <w:r>
        <w:rPr>
          <w:i/>
          <w:iCs/>
          <w:sz w:val="22"/>
          <w:szCs w:val="22"/>
        </w:rPr>
        <w:t>suggest</w:t>
      </w:r>
      <w:r>
        <w:rPr>
          <w:sz w:val="22"/>
          <w:szCs w:val="22"/>
        </w:rPr>
        <w:t xml:space="preserve"> in application and implication frames, therefore aligns more with the scientific pattern than with the modal-heavy student pattern.</w:t>
      </w:r>
    </w:p>
    <w:p>
      <w:pPr>
        <w:pStyle w:val="normal1"/>
        <w:keepNext w:val="true"/>
        <w:pageBreakBefore w:val="false"/>
        <w:spacing w:lineRule="auto" w:line="480" w:before="240" w:after="0"/>
        <w:jc w:val="center"/>
        <w:rPr/>
      </w:pPr>
      <w:r>
        <w:rPr>
          <w:b/>
          <w:bCs/>
          <w:sz w:val="22"/>
          <w:szCs w:val="22"/>
        </w:rPr>
        <w:t>Table 3</w:t>
      </w:r>
    </w:p>
    <w:p>
      <w:pPr>
        <w:pStyle w:val="normal1"/>
        <w:keepNext w:val="true"/>
        <w:spacing w:lineRule="auto" w:line="480" w:before="0" w:after="0"/>
        <w:jc w:val="center"/>
        <w:rPr/>
      </w:pPr>
      <w:r>
        <w:rPr>
          <w:sz w:val="22"/>
          <w:szCs w:val="22"/>
        </w:rPr>
        <w:t>Hedge Token Inventory by Form</w:t>
      </w:r>
    </w:p>
    <w:tbl>
      <w:tblPr>
        <w:tblStyle w:val="Table3"/>
        <w:tblW w:w="8304" w:type="dxa"/>
        <w:jc w:val="left"/>
        <w:tblInd w:w="0" w:type="dxa"/>
        <w:tblLayout w:type="fixed"/>
        <w:tblCellMar>
          <w:top w:w="0" w:type="dxa"/>
          <w:left w:w="108" w:type="dxa"/>
          <w:bottom w:w="0" w:type="dxa"/>
          <w:right w:w="108" w:type="dxa"/>
        </w:tblCellMar>
        <w:tblLook w:val="0400"/>
      </w:tblPr>
      <w:tblGrid>
        <w:gridCol w:w="2076"/>
        <w:gridCol w:w="2076"/>
        <w:gridCol w:w="2076"/>
        <w:gridCol w:w="2075"/>
      </w:tblGrid>
      <w:tr>
        <w:trPr>
          <w:tblHeader w:val="true"/>
          <w:cantSplit w:val="true"/>
        </w:trPr>
        <w:tc>
          <w:tcPr>
            <w:tcW w:w="2076" w:type="dxa"/>
            <w:tcBorders>
              <w:top w:val="single" w:sz="18" w:space="0" w:color="000000"/>
              <w:bottom w:val="single" w:sz="6" w:space="0" w:color="000000"/>
            </w:tcBorders>
          </w:tcPr>
          <w:p>
            <w:pPr>
              <w:pStyle w:val="normal1"/>
              <w:spacing w:lineRule="auto" w:line="480" w:before="0" w:after="0"/>
              <w:jc w:val="center"/>
              <w:rPr>
                <w:sz w:val="18"/>
                <w:szCs w:val="18"/>
              </w:rPr>
            </w:pPr>
            <w:r>
              <w:rPr>
                <w:b/>
                <w:bCs/>
                <w:sz w:val="18"/>
                <w:szCs w:val="18"/>
              </w:rPr>
              <w:t>Hedge form</w:t>
            </w:r>
          </w:p>
        </w:tc>
        <w:tc>
          <w:tcPr>
            <w:tcW w:w="2076" w:type="dxa"/>
            <w:tcBorders>
              <w:top w:val="single" w:sz="18" w:space="0" w:color="000000"/>
              <w:bottom w:val="single" w:sz="6" w:space="0" w:color="000000"/>
            </w:tcBorders>
          </w:tcPr>
          <w:p>
            <w:pPr>
              <w:pStyle w:val="normal1"/>
              <w:spacing w:lineRule="auto" w:line="480" w:before="0" w:after="0"/>
              <w:jc w:val="center"/>
              <w:rPr>
                <w:sz w:val="18"/>
                <w:szCs w:val="18"/>
              </w:rPr>
            </w:pPr>
            <w:r>
              <w:rPr>
                <w:b/>
                <w:bCs/>
                <w:sz w:val="18"/>
                <w:szCs w:val="18"/>
              </w:rPr>
              <w:t>Grammatical type</w:t>
            </w:r>
          </w:p>
        </w:tc>
        <w:tc>
          <w:tcPr>
            <w:tcW w:w="2076" w:type="dxa"/>
            <w:tcBorders>
              <w:top w:val="single" w:sz="18" w:space="0" w:color="000000"/>
              <w:bottom w:val="single" w:sz="6" w:space="0" w:color="000000"/>
            </w:tcBorders>
          </w:tcPr>
          <w:p>
            <w:pPr>
              <w:pStyle w:val="normal1"/>
              <w:spacing w:lineRule="auto" w:line="480" w:before="0" w:after="0"/>
              <w:jc w:val="center"/>
              <w:rPr>
                <w:sz w:val="18"/>
                <w:szCs w:val="18"/>
              </w:rPr>
            </w:pPr>
            <w:r>
              <w:rPr>
                <w:b/>
                <w:bCs/>
                <w:sz w:val="18"/>
                <w:szCs w:val="18"/>
              </w:rPr>
              <w:t>Count</w:t>
            </w:r>
          </w:p>
        </w:tc>
        <w:tc>
          <w:tcPr>
            <w:tcW w:w="2075" w:type="dxa"/>
            <w:tcBorders>
              <w:top w:val="single" w:sz="18" w:space="0" w:color="000000"/>
              <w:bottom w:val="single" w:sz="6" w:space="0" w:color="000000"/>
            </w:tcBorders>
          </w:tcPr>
          <w:p>
            <w:pPr>
              <w:pStyle w:val="normal1"/>
              <w:spacing w:lineRule="auto" w:line="480" w:before="0" w:after="0"/>
              <w:jc w:val="center"/>
              <w:rPr>
                <w:sz w:val="18"/>
                <w:szCs w:val="18"/>
              </w:rPr>
            </w:pPr>
            <w:r>
              <w:rPr>
                <w:b/>
                <w:bCs/>
                <w:sz w:val="18"/>
                <w:szCs w:val="18"/>
              </w:rPr>
              <w:t>% of total hedges</w:t>
            </w:r>
          </w:p>
        </w:tc>
      </w:tr>
      <w:tr>
        <w:trPr>
          <w:cantSplit w:val="true"/>
        </w:trPr>
        <w:tc>
          <w:tcPr>
            <w:tcW w:w="2076" w:type="dxa"/>
            <w:tcBorders/>
          </w:tcPr>
          <w:p>
            <w:pPr>
              <w:pStyle w:val="normal1"/>
              <w:spacing w:lineRule="auto" w:line="480" w:before="0" w:after="0"/>
              <w:jc w:val="left"/>
              <w:rPr>
                <w:sz w:val="18"/>
                <w:szCs w:val="18"/>
              </w:rPr>
            </w:pPr>
            <w:r>
              <w:rPr>
                <w:sz w:val="18"/>
                <w:szCs w:val="18"/>
              </w:rPr>
              <w:t>potential</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19</w:t>
            </w:r>
          </w:p>
        </w:tc>
        <w:tc>
          <w:tcPr>
            <w:tcW w:w="2075" w:type="dxa"/>
            <w:tcBorders/>
          </w:tcPr>
          <w:p>
            <w:pPr>
              <w:pStyle w:val="normal1"/>
              <w:spacing w:lineRule="auto" w:line="480" w:before="0" w:after="0"/>
              <w:jc w:val="center"/>
              <w:rPr>
                <w:sz w:val="18"/>
                <w:szCs w:val="18"/>
              </w:rPr>
            </w:pPr>
            <w:r>
              <w:rPr>
                <w:sz w:val="18"/>
                <w:szCs w:val="18"/>
              </w:rPr>
              <w:t>29.2%</w:t>
            </w:r>
          </w:p>
        </w:tc>
      </w:tr>
      <w:tr>
        <w:trPr>
          <w:cantSplit w:val="true"/>
        </w:trPr>
        <w:tc>
          <w:tcPr>
            <w:tcW w:w="2076" w:type="dxa"/>
            <w:tcBorders/>
          </w:tcPr>
          <w:p>
            <w:pPr>
              <w:pStyle w:val="normal1"/>
              <w:spacing w:lineRule="auto" w:line="480" w:before="0" w:after="0"/>
              <w:jc w:val="left"/>
              <w:rPr>
                <w:sz w:val="18"/>
                <w:szCs w:val="18"/>
              </w:rPr>
            </w:pPr>
            <w:r>
              <w:rPr>
                <w:sz w:val="18"/>
                <w:szCs w:val="18"/>
              </w:rPr>
              <w:t>suggests</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7</w:t>
            </w:r>
          </w:p>
        </w:tc>
        <w:tc>
          <w:tcPr>
            <w:tcW w:w="2075" w:type="dxa"/>
            <w:tcBorders/>
          </w:tcPr>
          <w:p>
            <w:pPr>
              <w:pStyle w:val="normal1"/>
              <w:spacing w:lineRule="auto" w:line="480" w:before="0" w:after="0"/>
              <w:jc w:val="center"/>
              <w:rPr>
                <w:sz w:val="18"/>
                <w:szCs w:val="18"/>
              </w:rPr>
            </w:pPr>
            <w:r>
              <w:rPr>
                <w:sz w:val="18"/>
                <w:szCs w:val="18"/>
              </w:rPr>
              <w:t>10.8%</w:t>
            </w:r>
          </w:p>
        </w:tc>
      </w:tr>
      <w:tr>
        <w:trPr>
          <w:cantSplit w:val="true"/>
        </w:trPr>
        <w:tc>
          <w:tcPr>
            <w:tcW w:w="2076" w:type="dxa"/>
            <w:tcBorders/>
          </w:tcPr>
          <w:p>
            <w:pPr>
              <w:pStyle w:val="normal1"/>
              <w:spacing w:lineRule="auto" w:line="480" w:before="0" w:after="0"/>
              <w:jc w:val="left"/>
              <w:rPr>
                <w:sz w:val="18"/>
                <w:szCs w:val="18"/>
              </w:rPr>
            </w:pPr>
            <w:r>
              <w:rPr>
                <w:sz w:val="18"/>
                <w:szCs w:val="18"/>
              </w:rPr>
              <w:t>suggest</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3</w:t>
            </w:r>
          </w:p>
        </w:tc>
        <w:tc>
          <w:tcPr>
            <w:tcW w:w="2075" w:type="dxa"/>
            <w:tcBorders/>
          </w:tcPr>
          <w:p>
            <w:pPr>
              <w:pStyle w:val="normal1"/>
              <w:spacing w:lineRule="auto" w:line="480" w:before="0" w:after="0"/>
              <w:jc w:val="center"/>
              <w:rPr>
                <w:sz w:val="18"/>
                <w:szCs w:val="18"/>
              </w:rPr>
            </w:pPr>
            <w:r>
              <w:rPr>
                <w:sz w:val="18"/>
                <w:szCs w:val="18"/>
              </w:rPr>
              <w:t>4.6%</w:t>
            </w:r>
          </w:p>
        </w:tc>
      </w:tr>
      <w:tr>
        <w:trPr>
          <w:cantSplit w:val="true"/>
        </w:trPr>
        <w:tc>
          <w:tcPr>
            <w:tcW w:w="2076" w:type="dxa"/>
            <w:tcBorders/>
          </w:tcPr>
          <w:p>
            <w:pPr>
              <w:pStyle w:val="normal1"/>
              <w:spacing w:lineRule="auto" w:line="480" w:before="0" w:after="0"/>
              <w:jc w:val="left"/>
              <w:rPr>
                <w:sz w:val="18"/>
                <w:szCs w:val="18"/>
              </w:rPr>
            </w:pPr>
            <w:r>
              <w:rPr>
                <w:sz w:val="18"/>
                <w:szCs w:val="18"/>
              </w:rPr>
              <w:t>suggesting</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3</w:t>
            </w:r>
          </w:p>
        </w:tc>
        <w:tc>
          <w:tcPr>
            <w:tcW w:w="2075" w:type="dxa"/>
            <w:tcBorders/>
          </w:tcPr>
          <w:p>
            <w:pPr>
              <w:pStyle w:val="normal1"/>
              <w:spacing w:lineRule="auto" w:line="480" w:before="0" w:after="0"/>
              <w:jc w:val="center"/>
              <w:rPr>
                <w:sz w:val="18"/>
                <w:szCs w:val="18"/>
              </w:rPr>
            </w:pPr>
            <w:r>
              <w:rPr>
                <w:sz w:val="18"/>
                <w:szCs w:val="18"/>
              </w:rPr>
              <w:t>4.6%</w:t>
            </w:r>
          </w:p>
        </w:tc>
      </w:tr>
      <w:tr>
        <w:trPr>
          <w:cantSplit w:val="true"/>
        </w:trPr>
        <w:tc>
          <w:tcPr>
            <w:tcW w:w="2076" w:type="dxa"/>
            <w:tcBorders/>
          </w:tcPr>
          <w:p>
            <w:pPr>
              <w:pStyle w:val="normal1"/>
              <w:spacing w:lineRule="auto" w:line="480" w:before="0" w:after="0"/>
              <w:jc w:val="left"/>
              <w:rPr>
                <w:sz w:val="18"/>
                <w:szCs w:val="18"/>
              </w:rPr>
            </w:pPr>
            <w:r>
              <w:rPr>
                <w:sz w:val="18"/>
                <w:szCs w:val="18"/>
              </w:rPr>
              <w:t>implies</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2</w:t>
            </w:r>
          </w:p>
        </w:tc>
        <w:tc>
          <w:tcPr>
            <w:tcW w:w="2075" w:type="dxa"/>
            <w:tcBorders/>
          </w:tcPr>
          <w:p>
            <w:pPr>
              <w:pStyle w:val="normal1"/>
              <w:spacing w:lineRule="auto" w:line="480" w:before="0" w:after="0"/>
              <w:jc w:val="center"/>
              <w:rPr>
                <w:sz w:val="18"/>
                <w:szCs w:val="18"/>
              </w:rPr>
            </w:pPr>
            <w:r>
              <w:rPr>
                <w:sz w:val="18"/>
                <w:szCs w:val="18"/>
              </w:rPr>
              <w:t>3.1%</w:t>
            </w:r>
          </w:p>
        </w:tc>
      </w:tr>
      <w:tr>
        <w:trPr>
          <w:cantSplit w:val="true"/>
        </w:trPr>
        <w:tc>
          <w:tcPr>
            <w:tcW w:w="2076" w:type="dxa"/>
            <w:tcBorders/>
          </w:tcPr>
          <w:p>
            <w:pPr>
              <w:pStyle w:val="normal1"/>
              <w:spacing w:lineRule="auto" w:line="480" w:before="0" w:after="0"/>
              <w:jc w:val="left"/>
              <w:rPr>
                <w:sz w:val="18"/>
                <w:szCs w:val="18"/>
              </w:rPr>
            </w:pPr>
            <w:r>
              <w:rPr>
                <w:sz w:val="18"/>
                <w:szCs w:val="18"/>
              </w:rPr>
              <w:t>indicating</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2</w:t>
            </w:r>
          </w:p>
        </w:tc>
        <w:tc>
          <w:tcPr>
            <w:tcW w:w="2075" w:type="dxa"/>
            <w:tcBorders/>
          </w:tcPr>
          <w:p>
            <w:pPr>
              <w:pStyle w:val="normal1"/>
              <w:spacing w:lineRule="auto" w:line="480" w:before="0" w:after="0"/>
              <w:jc w:val="center"/>
              <w:rPr>
                <w:sz w:val="18"/>
                <w:szCs w:val="18"/>
              </w:rPr>
            </w:pPr>
            <w:r>
              <w:rPr>
                <w:sz w:val="18"/>
                <w:szCs w:val="18"/>
              </w:rPr>
              <w:t>3.1%</w:t>
            </w:r>
          </w:p>
        </w:tc>
      </w:tr>
      <w:tr>
        <w:trPr>
          <w:cantSplit w:val="true"/>
        </w:trPr>
        <w:tc>
          <w:tcPr>
            <w:tcW w:w="2076" w:type="dxa"/>
            <w:tcBorders/>
          </w:tcPr>
          <w:p>
            <w:pPr>
              <w:pStyle w:val="normal1"/>
              <w:spacing w:lineRule="auto" w:line="480" w:before="0" w:after="0"/>
              <w:jc w:val="left"/>
              <w:rPr>
                <w:sz w:val="18"/>
                <w:szCs w:val="18"/>
              </w:rPr>
            </w:pPr>
            <w:r>
              <w:rPr>
                <w:sz w:val="18"/>
                <w:szCs w:val="18"/>
              </w:rPr>
              <w:t>likely</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2</w:t>
            </w:r>
          </w:p>
        </w:tc>
        <w:tc>
          <w:tcPr>
            <w:tcW w:w="2075" w:type="dxa"/>
            <w:tcBorders/>
          </w:tcPr>
          <w:p>
            <w:pPr>
              <w:pStyle w:val="normal1"/>
              <w:spacing w:lineRule="auto" w:line="480" w:before="0" w:after="0"/>
              <w:jc w:val="center"/>
              <w:rPr>
                <w:sz w:val="18"/>
                <w:szCs w:val="18"/>
              </w:rPr>
            </w:pPr>
            <w:r>
              <w:rPr>
                <w:sz w:val="18"/>
                <w:szCs w:val="18"/>
              </w:rPr>
              <w:t>3.1%</w:t>
            </w:r>
          </w:p>
        </w:tc>
      </w:tr>
      <w:tr>
        <w:trPr>
          <w:cantSplit w:val="true"/>
        </w:trPr>
        <w:tc>
          <w:tcPr>
            <w:tcW w:w="2076" w:type="dxa"/>
            <w:tcBorders/>
          </w:tcPr>
          <w:p>
            <w:pPr>
              <w:pStyle w:val="normal1"/>
              <w:spacing w:lineRule="auto" w:line="480" w:before="0" w:after="0"/>
              <w:jc w:val="left"/>
              <w:rPr>
                <w:sz w:val="18"/>
                <w:szCs w:val="18"/>
              </w:rPr>
            </w:pPr>
            <w:r>
              <w:rPr>
                <w:sz w:val="18"/>
                <w:szCs w:val="18"/>
              </w:rPr>
              <w:t>implying</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1</w:t>
            </w:r>
          </w:p>
        </w:tc>
        <w:tc>
          <w:tcPr>
            <w:tcW w:w="2075" w:type="dxa"/>
            <w:tcBorders/>
          </w:tcPr>
          <w:p>
            <w:pPr>
              <w:pStyle w:val="normal1"/>
              <w:spacing w:lineRule="auto" w:line="480" w:before="0" w:after="0"/>
              <w:jc w:val="center"/>
              <w:rPr>
                <w:sz w:val="18"/>
                <w:szCs w:val="18"/>
              </w:rPr>
            </w:pPr>
            <w:r>
              <w:rPr>
                <w:sz w:val="18"/>
                <w:szCs w:val="18"/>
              </w:rPr>
              <w:t>1.5%</w:t>
            </w:r>
          </w:p>
        </w:tc>
      </w:tr>
      <w:tr>
        <w:trPr>
          <w:cantSplit w:val="true"/>
        </w:trPr>
        <w:tc>
          <w:tcPr>
            <w:tcW w:w="2076" w:type="dxa"/>
            <w:tcBorders/>
          </w:tcPr>
          <w:p>
            <w:pPr>
              <w:pStyle w:val="normal1"/>
              <w:spacing w:lineRule="auto" w:line="480" w:before="0" w:after="0"/>
              <w:jc w:val="left"/>
              <w:rPr>
                <w:sz w:val="18"/>
                <w:szCs w:val="18"/>
              </w:rPr>
            </w:pPr>
            <w:r>
              <w:rPr>
                <w:sz w:val="18"/>
                <w:szCs w:val="18"/>
              </w:rPr>
              <w:t>inferring</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1</w:t>
            </w:r>
          </w:p>
        </w:tc>
        <w:tc>
          <w:tcPr>
            <w:tcW w:w="2075" w:type="dxa"/>
            <w:tcBorders/>
          </w:tcPr>
          <w:p>
            <w:pPr>
              <w:pStyle w:val="normal1"/>
              <w:spacing w:lineRule="auto" w:line="480" w:before="0" w:after="0"/>
              <w:jc w:val="center"/>
              <w:rPr>
                <w:sz w:val="18"/>
                <w:szCs w:val="18"/>
              </w:rPr>
            </w:pPr>
            <w:r>
              <w:rPr>
                <w:sz w:val="18"/>
                <w:szCs w:val="18"/>
              </w:rPr>
              <w:t>1.5%</w:t>
            </w:r>
          </w:p>
        </w:tc>
      </w:tr>
      <w:tr>
        <w:trPr>
          <w:cantSplit w:val="true"/>
        </w:trPr>
        <w:tc>
          <w:tcPr>
            <w:tcW w:w="2076" w:type="dxa"/>
            <w:tcBorders/>
          </w:tcPr>
          <w:p>
            <w:pPr>
              <w:pStyle w:val="normal1"/>
              <w:spacing w:lineRule="auto" w:line="480" w:before="0" w:after="0"/>
              <w:jc w:val="left"/>
              <w:rPr>
                <w:sz w:val="18"/>
                <w:szCs w:val="18"/>
              </w:rPr>
            </w:pPr>
            <w:r>
              <w:rPr>
                <w:sz w:val="18"/>
                <w:szCs w:val="18"/>
              </w:rPr>
              <w:t>possible</w:t>
            </w:r>
          </w:p>
        </w:tc>
        <w:tc>
          <w:tcPr>
            <w:tcW w:w="2076" w:type="dxa"/>
            <w:tcBorders/>
          </w:tcPr>
          <w:p>
            <w:pPr>
              <w:pStyle w:val="normal1"/>
              <w:spacing w:lineRule="auto" w:line="480" w:before="0" w:after="0"/>
              <w:jc w:val="left"/>
              <w:rPr>
                <w:sz w:val="18"/>
                <w:szCs w:val="18"/>
              </w:rPr>
            </w:pPr>
            <w:r>
              <w:rPr>
                <w:sz w:val="18"/>
                <w:szCs w:val="18"/>
              </w:rPr>
              <w:t>Lexical Hedges</w:t>
            </w:r>
          </w:p>
        </w:tc>
        <w:tc>
          <w:tcPr>
            <w:tcW w:w="2076" w:type="dxa"/>
            <w:tcBorders/>
          </w:tcPr>
          <w:p>
            <w:pPr>
              <w:pStyle w:val="normal1"/>
              <w:spacing w:lineRule="auto" w:line="480" w:before="0" w:after="0"/>
              <w:jc w:val="center"/>
              <w:rPr>
                <w:sz w:val="18"/>
                <w:szCs w:val="18"/>
              </w:rPr>
            </w:pPr>
            <w:r>
              <w:rPr>
                <w:sz w:val="18"/>
                <w:szCs w:val="18"/>
              </w:rPr>
              <w:t>1</w:t>
            </w:r>
          </w:p>
        </w:tc>
        <w:tc>
          <w:tcPr>
            <w:tcW w:w="2075" w:type="dxa"/>
            <w:tcBorders/>
          </w:tcPr>
          <w:p>
            <w:pPr>
              <w:pStyle w:val="normal1"/>
              <w:spacing w:lineRule="auto" w:line="480" w:before="0" w:after="0"/>
              <w:jc w:val="center"/>
              <w:rPr>
                <w:sz w:val="18"/>
                <w:szCs w:val="18"/>
              </w:rPr>
            </w:pPr>
            <w:r>
              <w:rPr>
                <w:sz w:val="18"/>
                <w:szCs w:val="18"/>
              </w:rPr>
              <w:t>1.5%</w:t>
            </w:r>
          </w:p>
        </w:tc>
      </w:tr>
      <w:tr>
        <w:trPr>
          <w:cantSplit w:val="true"/>
        </w:trPr>
        <w:tc>
          <w:tcPr>
            <w:tcW w:w="2076" w:type="dxa"/>
            <w:tcBorders/>
          </w:tcPr>
          <w:p>
            <w:pPr>
              <w:pStyle w:val="normal1"/>
              <w:spacing w:lineRule="auto" w:line="480" w:before="0" w:after="0"/>
              <w:jc w:val="left"/>
              <w:rPr>
                <w:sz w:val="18"/>
                <w:szCs w:val="18"/>
              </w:rPr>
            </w:pPr>
            <w:r>
              <w:rPr>
                <w:sz w:val="18"/>
                <w:szCs w:val="18"/>
              </w:rPr>
              <w:t>can</w:t>
            </w:r>
          </w:p>
        </w:tc>
        <w:tc>
          <w:tcPr>
            <w:tcW w:w="2076" w:type="dxa"/>
            <w:tcBorders/>
          </w:tcPr>
          <w:p>
            <w:pPr>
              <w:pStyle w:val="normal1"/>
              <w:spacing w:lineRule="auto" w:line="480" w:before="0" w:after="0"/>
              <w:jc w:val="left"/>
              <w:rPr>
                <w:sz w:val="18"/>
                <w:szCs w:val="18"/>
              </w:rPr>
            </w:pPr>
            <w:r>
              <w:rPr>
                <w:sz w:val="18"/>
                <w:szCs w:val="18"/>
              </w:rPr>
              <w:t>Modal Verbs</w:t>
            </w:r>
          </w:p>
        </w:tc>
        <w:tc>
          <w:tcPr>
            <w:tcW w:w="2076" w:type="dxa"/>
            <w:tcBorders/>
          </w:tcPr>
          <w:p>
            <w:pPr>
              <w:pStyle w:val="normal1"/>
              <w:spacing w:lineRule="auto" w:line="480" w:before="0" w:after="0"/>
              <w:jc w:val="center"/>
              <w:rPr>
                <w:sz w:val="18"/>
                <w:szCs w:val="18"/>
              </w:rPr>
            </w:pPr>
            <w:r>
              <w:rPr>
                <w:sz w:val="18"/>
                <w:szCs w:val="18"/>
              </w:rPr>
              <w:t>6</w:t>
            </w:r>
          </w:p>
        </w:tc>
        <w:tc>
          <w:tcPr>
            <w:tcW w:w="2075" w:type="dxa"/>
            <w:tcBorders/>
          </w:tcPr>
          <w:p>
            <w:pPr>
              <w:pStyle w:val="normal1"/>
              <w:spacing w:lineRule="auto" w:line="480" w:before="0" w:after="0"/>
              <w:jc w:val="center"/>
              <w:rPr>
                <w:sz w:val="18"/>
                <w:szCs w:val="18"/>
              </w:rPr>
            </w:pPr>
            <w:r>
              <w:rPr>
                <w:sz w:val="18"/>
                <w:szCs w:val="18"/>
              </w:rPr>
              <w:t>9.2%</w:t>
            </w:r>
          </w:p>
        </w:tc>
      </w:tr>
      <w:tr>
        <w:trPr>
          <w:cantSplit w:val="true"/>
        </w:trPr>
        <w:tc>
          <w:tcPr>
            <w:tcW w:w="2076" w:type="dxa"/>
            <w:tcBorders/>
          </w:tcPr>
          <w:p>
            <w:pPr>
              <w:pStyle w:val="normal1"/>
              <w:spacing w:lineRule="auto" w:line="480" w:before="0" w:after="0"/>
              <w:jc w:val="left"/>
              <w:rPr>
                <w:sz w:val="18"/>
                <w:szCs w:val="18"/>
              </w:rPr>
            </w:pPr>
            <w:r>
              <w:rPr>
                <w:sz w:val="18"/>
                <w:szCs w:val="18"/>
              </w:rPr>
              <w:t>could</w:t>
            </w:r>
          </w:p>
        </w:tc>
        <w:tc>
          <w:tcPr>
            <w:tcW w:w="2076" w:type="dxa"/>
            <w:tcBorders/>
          </w:tcPr>
          <w:p>
            <w:pPr>
              <w:pStyle w:val="normal1"/>
              <w:spacing w:lineRule="auto" w:line="480" w:before="0" w:after="0"/>
              <w:jc w:val="left"/>
              <w:rPr>
                <w:sz w:val="18"/>
                <w:szCs w:val="18"/>
              </w:rPr>
            </w:pPr>
            <w:r>
              <w:rPr>
                <w:sz w:val="18"/>
                <w:szCs w:val="18"/>
              </w:rPr>
              <w:t>Modal Verbs</w:t>
            </w:r>
          </w:p>
        </w:tc>
        <w:tc>
          <w:tcPr>
            <w:tcW w:w="2076" w:type="dxa"/>
            <w:tcBorders/>
          </w:tcPr>
          <w:p>
            <w:pPr>
              <w:pStyle w:val="normal1"/>
              <w:spacing w:lineRule="auto" w:line="480" w:before="0" w:after="0"/>
              <w:jc w:val="center"/>
              <w:rPr>
                <w:sz w:val="18"/>
                <w:szCs w:val="18"/>
              </w:rPr>
            </w:pPr>
            <w:r>
              <w:rPr>
                <w:sz w:val="18"/>
                <w:szCs w:val="18"/>
              </w:rPr>
              <w:t>6</w:t>
            </w:r>
          </w:p>
        </w:tc>
        <w:tc>
          <w:tcPr>
            <w:tcW w:w="2075" w:type="dxa"/>
            <w:tcBorders/>
          </w:tcPr>
          <w:p>
            <w:pPr>
              <w:pStyle w:val="normal1"/>
              <w:spacing w:lineRule="auto" w:line="480" w:before="0" w:after="0"/>
              <w:jc w:val="center"/>
              <w:rPr>
                <w:sz w:val="18"/>
                <w:szCs w:val="18"/>
              </w:rPr>
            </w:pPr>
            <w:r>
              <w:rPr>
                <w:sz w:val="18"/>
                <w:szCs w:val="18"/>
              </w:rPr>
              <w:t>9.2%</w:t>
            </w:r>
          </w:p>
        </w:tc>
      </w:tr>
      <w:tr>
        <w:trPr>
          <w:cantSplit w:val="true"/>
        </w:trPr>
        <w:tc>
          <w:tcPr>
            <w:tcW w:w="2076" w:type="dxa"/>
            <w:tcBorders/>
          </w:tcPr>
          <w:p>
            <w:pPr>
              <w:pStyle w:val="normal1"/>
              <w:spacing w:lineRule="auto" w:line="480" w:before="0" w:after="0"/>
              <w:jc w:val="left"/>
              <w:rPr>
                <w:sz w:val="18"/>
                <w:szCs w:val="18"/>
              </w:rPr>
            </w:pPr>
            <w:r>
              <w:rPr>
                <w:sz w:val="18"/>
                <w:szCs w:val="18"/>
              </w:rPr>
              <w:t>may</w:t>
            </w:r>
          </w:p>
        </w:tc>
        <w:tc>
          <w:tcPr>
            <w:tcW w:w="2076" w:type="dxa"/>
            <w:tcBorders/>
          </w:tcPr>
          <w:p>
            <w:pPr>
              <w:pStyle w:val="normal1"/>
              <w:spacing w:lineRule="auto" w:line="480" w:before="0" w:after="0"/>
              <w:jc w:val="left"/>
              <w:rPr>
                <w:sz w:val="18"/>
                <w:szCs w:val="18"/>
              </w:rPr>
            </w:pPr>
            <w:r>
              <w:rPr>
                <w:sz w:val="18"/>
                <w:szCs w:val="18"/>
              </w:rPr>
              <w:t>Modal Verbs</w:t>
            </w:r>
          </w:p>
        </w:tc>
        <w:tc>
          <w:tcPr>
            <w:tcW w:w="2076" w:type="dxa"/>
            <w:tcBorders/>
          </w:tcPr>
          <w:p>
            <w:pPr>
              <w:pStyle w:val="normal1"/>
              <w:spacing w:lineRule="auto" w:line="480" w:before="0" w:after="0"/>
              <w:jc w:val="center"/>
              <w:rPr>
                <w:sz w:val="18"/>
                <w:szCs w:val="18"/>
              </w:rPr>
            </w:pPr>
            <w:r>
              <w:rPr>
                <w:sz w:val="18"/>
                <w:szCs w:val="18"/>
              </w:rPr>
              <w:t>6</w:t>
            </w:r>
          </w:p>
        </w:tc>
        <w:tc>
          <w:tcPr>
            <w:tcW w:w="2075" w:type="dxa"/>
            <w:tcBorders/>
          </w:tcPr>
          <w:p>
            <w:pPr>
              <w:pStyle w:val="normal1"/>
              <w:spacing w:lineRule="auto" w:line="480" w:before="0" w:after="0"/>
              <w:jc w:val="center"/>
              <w:rPr>
                <w:sz w:val="18"/>
                <w:szCs w:val="18"/>
              </w:rPr>
            </w:pPr>
            <w:r>
              <w:rPr>
                <w:sz w:val="18"/>
                <w:szCs w:val="18"/>
              </w:rPr>
              <w:t>9.2%</w:t>
            </w:r>
          </w:p>
        </w:tc>
      </w:tr>
      <w:tr>
        <w:trPr>
          <w:cantSplit w:val="true"/>
        </w:trPr>
        <w:tc>
          <w:tcPr>
            <w:tcW w:w="2076" w:type="dxa"/>
            <w:tcBorders/>
          </w:tcPr>
          <w:p>
            <w:pPr>
              <w:pStyle w:val="normal1"/>
              <w:spacing w:lineRule="auto" w:line="480" w:before="0" w:after="0"/>
              <w:jc w:val="left"/>
              <w:rPr>
                <w:sz w:val="18"/>
                <w:szCs w:val="18"/>
              </w:rPr>
            </w:pPr>
            <w:r>
              <w:rPr>
                <w:sz w:val="18"/>
                <w:szCs w:val="18"/>
              </w:rPr>
              <w:t>might</w:t>
            </w:r>
          </w:p>
        </w:tc>
        <w:tc>
          <w:tcPr>
            <w:tcW w:w="2076" w:type="dxa"/>
            <w:tcBorders/>
          </w:tcPr>
          <w:p>
            <w:pPr>
              <w:pStyle w:val="normal1"/>
              <w:spacing w:lineRule="auto" w:line="480" w:before="0" w:after="0"/>
              <w:jc w:val="left"/>
              <w:rPr>
                <w:sz w:val="18"/>
                <w:szCs w:val="18"/>
              </w:rPr>
            </w:pPr>
            <w:r>
              <w:rPr>
                <w:sz w:val="18"/>
                <w:szCs w:val="18"/>
              </w:rPr>
              <w:t>Modal Verbs</w:t>
            </w:r>
          </w:p>
        </w:tc>
        <w:tc>
          <w:tcPr>
            <w:tcW w:w="2076" w:type="dxa"/>
            <w:tcBorders/>
          </w:tcPr>
          <w:p>
            <w:pPr>
              <w:pStyle w:val="normal1"/>
              <w:spacing w:lineRule="auto" w:line="480" w:before="0" w:after="0"/>
              <w:jc w:val="center"/>
              <w:rPr>
                <w:sz w:val="18"/>
                <w:szCs w:val="18"/>
              </w:rPr>
            </w:pPr>
            <w:r>
              <w:rPr>
                <w:sz w:val="18"/>
                <w:szCs w:val="18"/>
              </w:rPr>
              <w:t>3</w:t>
            </w:r>
          </w:p>
        </w:tc>
        <w:tc>
          <w:tcPr>
            <w:tcW w:w="2075" w:type="dxa"/>
            <w:tcBorders/>
          </w:tcPr>
          <w:p>
            <w:pPr>
              <w:pStyle w:val="normal1"/>
              <w:spacing w:lineRule="auto" w:line="480" w:before="0" w:after="0"/>
              <w:jc w:val="center"/>
              <w:rPr>
                <w:sz w:val="18"/>
                <w:szCs w:val="18"/>
              </w:rPr>
            </w:pPr>
            <w:r>
              <w:rPr>
                <w:sz w:val="18"/>
                <w:szCs w:val="18"/>
              </w:rPr>
              <w:t>4.6%</w:t>
            </w:r>
          </w:p>
        </w:tc>
      </w:tr>
      <w:tr>
        <w:trPr>
          <w:cantSplit w:val="true"/>
        </w:trPr>
        <w:tc>
          <w:tcPr>
            <w:tcW w:w="2076" w:type="dxa"/>
            <w:tcBorders/>
          </w:tcPr>
          <w:p>
            <w:pPr>
              <w:pStyle w:val="normal1"/>
              <w:spacing w:lineRule="auto" w:line="480" w:before="0" w:after="0"/>
              <w:jc w:val="left"/>
              <w:rPr>
                <w:sz w:val="18"/>
                <w:szCs w:val="18"/>
              </w:rPr>
            </w:pPr>
            <w:r>
              <w:rPr>
                <w:sz w:val="18"/>
                <w:szCs w:val="18"/>
              </w:rPr>
              <w:t>potentially</w:t>
            </w:r>
          </w:p>
        </w:tc>
        <w:tc>
          <w:tcPr>
            <w:tcW w:w="2076" w:type="dxa"/>
            <w:tcBorders/>
          </w:tcPr>
          <w:p>
            <w:pPr>
              <w:pStyle w:val="normal1"/>
              <w:spacing w:lineRule="auto" w:line="480" w:before="0" w:after="0"/>
              <w:jc w:val="left"/>
              <w:rPr>
                <w:sz w:val="18"/>
                <w:szCs w:val="18"/>
              </w:rPr>
            </w:pPr>
            <w:r>
              <w:rPr>
                <w:sz w:val="18"/>
                <w:szCs w:val="18"/>
              </w:rPr>
              <w:t>Adverbial Hedges</w:t>
            </w:r>
          </w:p>
        </w:tc>
        <w:tc>
          <w:tcPr>
            <w:tcW w:w="2076" w:type="dxa"/>
            <w:tcBorders/>
          </w:tcPr>
          <w:p>
            <w:pPr>
              <w:pStyle w:val="normal1"/>
              <w:spacing w:lineRule="auto" w:line="480" w:before="0" w:after="0"/>
              <w:jc w:val="center"/>
              <w:rPr>
                <w:sz w:val="18"/>
                <w:szCs w:val="18"/>
              </w:rPr>
            </w:pPr>
            <w:r>
              <w:rPr>
                <w:sz w:val="18"/>
                <w:szCs w:val="18"/>
              </w:rPr>
              <w:t>3</w:t>
            </w:r>
          </w:p>
        </w:tc>
        <w:tc>
          <w:tcPr>
            <w:tcW w:w="2075" w:type="dxa"/>
            <w:tcBorders/>
          </w:tcPr>
          <w:p>
            <w:pPr>
              <w:pStyle w:val="normal1"/>
              <w:spacing w:lineRule="auto" w:line="480" w:before="0" w:after="0"/>
              <w:jc w:val="center"/>
              <w:rPr>
                <w:sz w:val="18"/>
                <w:szCs w:val="18"/>
              </w:rPr>
            </w:pPr>
            <w:r>
              <w:rPr>
                <w:sz w:val="18"/>
                <w:szCs w:val="18"/>
              </w:rPr>
              <w:t>4.6%</w:t>
            </w:r>
          </w:p>
        </w:tc>
      </w:tr>
      <w:tr>
        <w:trPr>
          <w:cantSplit w:val="true"/>
        </w:trPr>
        <w:tc>
          <w:tcPr>
            <w:tcW w:w="2076" w:type="dxa"/>
            <w:tcBorders>
              <w:top w:val="single" w:sz="6" w:space="0" w:color="000000"/>
              <w:bottom w:val="single" w:sz="18" w:space="0" w:color="000000"/>
            </w:tcBorders>
          </w:tcPr>
          <w:p>
            <w:pPr>
              <w:pStyle w:val="normal1"/>
              <w:spacing w:lineRule="auto" w:line="480" w:before="0" w:after="0"/>
              <w:jc w:val="left"/>
              <w:rPr>
                <w:sz w:val="18"/>
                <w:szCs w:val="18"/>
              </w:rPr>
            </w:pPr>
            <w:r>
              <w:rPr>
                <w:sz w:val="18"/>
                <w:szCs w:val="18"/>
              </w:rPr>
              <w:t>Total</w:t>
            </w:r>
          </w:p>
        </w:tc>
        <w:tc>
          <w:tcPr>
            <w:tcW w:w="2076" w:type="dxa"/>
            <w:tcBorders>
              <w:top w:val="single" w:sz="6" w:space="0" w:color="000000"/>
              <w:bottom w:val="single" w:sz="18" w:space="0" w:color="000000"/>
            </w:tcBorders>
          </w:tcPr>
          <w:p>
            <w:pPr>
              <w:pStyle w:val="normal1"/>
              <w:spacing w:lineRule="auto" w:line="480" w:before="0" w:after="0"/>
              <w:jc w:val="left"/>
              <w:rPr>
                <w:sz w:val="18"/>
                <w:szCs w:val="18"/>
              </w:rPr>
            </w:pPr>
            <w:r>
              <w:rPr>
                <w:sz w:val="18"/>
                <w:szCs w:val="18"/>
              </w:rPr>
            </w:r>
          </w:p>
        </w:tc>
        <w:tc>
          <w:tcPr>
            <w:tcW w:w="2076" w:type="dxa"/>
            <w:tcBorders>
              <w:top w:val="single" w:sz="6" w:space="0" w:color="000000"/>
              <w:bottom w:val="single" w:sz="18" w:space="0" w:color="000000"/>
            </w:tcBorders>
          </w:tcPr>
          <w:p>
            <w:pPr>
              <w:pStyle w:val="normal1"/>
              <w:spacing w:lineRule="auto" w:line="480" w:before="0" w:after="0"/>
              <w:jc w:val="center"/>
              <w:rPr>
                <w:sz w:val="18"/>
                <w:szCs w:val="18"/>
              </w:rPr>
            </w:pPr>
            <w:r>
              <w:rPr>
                <w:sz w:val="18"/>
                <w:szCs w:val="18"/>
              </w:rPr>
              <w:t>65</w:t>
            </w:r>
          </w:p>
        </w:tc>
        <w:tc>
          <w:tcPr>
            <w:tcW w:w="2075" w:type="dxa"/>
            <w:tcBorders>
              <w:top w:val="single" w:sz="6" w:space="0" w:color="000000"/>
              <w:bottom w:val="single" w:sz="18" w:space="0" w:color="000000"/>
            </w:tcBorders>
          </w:tcPr>
          <w:p>
            <w:pPr>
              <w:pStyle w:val="normal1"/>
              <w:spacing w:lineRule="auto" w:line="480" w:before="0" w:after="0"/>
              <w:jc w:val="center"/>
              <w:rPr>
                <w:sz w:val="18"/>
                <w:szCs w:val="18"/>
              </w:rPr>
            </w:pPr>
            <w:r>
              <w:rPr>
                <w:sz w:val="18"/>
                <w:szCs w:val="18"/>
              </w:rPr>
              <w:t>100.0%</w:t>
            </w:r>
          </w:p>
        </w:tc>
      </w:tr>
    </w:tbl>
    <w:p>
      <w:pPr>
        <w:pStyle w:val="normal1"/>
        <w:spacing w:lineRule="auto" w:line="480" w:before="120" w:after="0"/>
        <w:ind w:firstLine="720"/>
        <w:rPr/>
      </w:pPr>
      <w:r>
        <w:rPr>
          <w:sz w:val="22"/>
          <w:szCs w:val="22"/>
        </w:rPr>
        <w:t>Table 3 lists every retained hedge form in the corpus with its grammatical type and count. Counts sum to 65. Surface forms of the same root are listed separately here so each tally line can be checked against the coding sheet.</w:t>
      </w:r>
    </w:p>
    <w:p>
      <w:pPr>
        <w:pStyle w:val="normal1"/>
        <w:spacing w:lineRule="auto" w:line="480" w:before="0" w:after="0"/>
        <w:ind w:firstLine="720"/>
        <w:jc w:val="both"/>
        <w:rPr/>
      </w:pPr>
      <w:r>
        <w:rPr>
          <w:sz w:val="22"/>
          <w:szCs w:val="22"/>
        </w:rPr>
        <w:t>The distribution of hedge types shows cross-disciplinary differences, most clearly in Veterinary Medicine’s small total and low modal share. Table 4 presents the per-discipline breakdown of hedge types. Read against other corpora where type distribution also shifts by field or writer group (Wang, 2022; Hyland, 1996b), that cell is a local type profile in this sample, not only evidence that VM hedges less often.</w:t>
      </w:r>
    </w:p>
    <w:p>
      <w:pPr>
        <w:pStyle w:val="normal1"/>
        <w:keepNext w:val="true"/>
        <w:pageBreakBefore w:val="false"/>
        <w:spacing w:lineRule="auto" w:line="480" w:before="720" w:after="0"/>
        <w:jc w:val="center"/>
        <w:rPr/>
      </w:pPr>
      <w:r>
        <w:rPr>
          <w:b/>
          <w:bCs/>
          <w:sz w:val="22"/>
          <w:szCs w:val="22"/>
        </w:rPr>
        <w:t>Table 4</w:t>
      </w:r>
    </w:p>
    <w:p>
      <w:pPr>
        <w:pStyle w:val="normal1"/>
        <w:keepNext w:val="true"/>
        <w:spacing w:lineRule="auto" w:line="480" w:before="0" w:after="60"/>
        <w:jc w:val="center"/>
        <w:rPr/>
      </w:pPr>
      <w:r>
        <w:rPr>
          <w:sz w:val="22"/>
          <w:szCs w:val="22"/>
        </w:rPr>
        <w:t>Hedge Type Distribution by Discipline</w:t>
      </w:r>
    </w:p>
    <w:tbl>
      <w:tblPr>
        <w:tblStyle w:val="Table4"/>
        <w:tblW w:w="8304" w:type="dxa"/>
        <w:jc w:val="left"/>
        <w:tblInd w:w="-115" w:type="dxa"/>
        <w:tblLayout w:type="fixed"/>
        <w:tblCellMar>
          <w:top w:w="0" w:type="dxa"/>
          <w:left w:w="108" w:type="dxa"/>
          <w:bottom w:w="0" w:type="dxa"/>
          <w:right w:w="108" w:type="dxa"/>
        </w:tblCellMar>
        <w:tblLook w:val="0400"/>
      </w:tblPr>
      <w:tblGrid>
        <w:gridCol w:w="1384"/>
        <w:gridCol w:w="1383"/>
        <w:gridCol w:w="1385"/>
        <w:gridCol w:w="1384"/>
        <w:gridCol w:w="1383"/>
        <w:gridCol w:w="1384"/>
      </w:tblGrid>
      <w:tr>
        <w:trPr>
          <w:tblHeader w:val="true"/>
          <w:cantSplit w:val="true"/>
        </w:trPr>
        <w:tc>
          <w:tcPr>
            <w:tcW w:w="1384"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Discipline</w:t>
            </w:r>
          </w:p>
        </w:tc>
        <w:tc>
          <w:tcPr>
            <w:tcW w:w="1383"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Modal Verbs</w:t>
            </w:r>
          </w:p>
        </w:tc>
        <w:tc>
          <w:tcPr>
            <w:tcW w:w="1385"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Lexical Hedges</w:t>
            </w:r>
          </w:p>
        </w:tc>
        <w:tc>
          <w:tcPr>
            <w:tcW w:w="1384"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Adverbial</w:t>
            </w:r>
          </w:p>
        </w:tc>
        <w:tc>
          <w:tcPr>
            <w:tcW w:w="1383" w:type="dxa"/>
            <w:tcBorders>
              <w:top w:val="single" w:sz="18" w:space="0" w:color="000000"/>
              <w:bottom w:val="single" w:sz="4" w:space="0" w:color="000000"/>
            </w:tcBorders>
          </w:tcPr>
          <w:p>
            <w:pPr>
              <w:pStyle w:val="normal1"/>
              <w:spacing w:lineRule="auto" w:line="480" w:before="0" w:after="0"/>
              <w:rPr>
                <w:b/>
                <w:bCs/>
                <w:i w:val="false"/>
                <w:i w:val="false"/>
                <w:iCs w:val="false"/>
                <w:sz w:val="18"/>
                <w:szCs w:val="18"/>
              </w:rPr>
            </w:pPr>
            <w:r>
              <w:rPr>
                <w:b/>
                <w:bCs/>
                <w:i w:val="false"/>
                <w:iCs w:val="false"/>
                <w:sz w:val="18"/>
                <w:szCs w:val="18"/>
              </w:rPr>
              <w:t>Clause-</w:t>
            </w:r>
          </w:p>
          <w:p>
            <w:pPr>
              <w:pStyle w:val="normal1"/>
              <w:spacing w:lineRule="auto" w:line="480" w:before="0" w:after="0"/>
              <w:rPr>
                <w:sz w:val="18"/>
                <w:szCs w:val="18"/>
              </w:rPr>
            </w:pPr>
            <w:r>
              <w:rPr>
                <w:b/>
                <w:bCs/>
                <w:i w:val="false"/>
                <w:iCs w:val="false"/>
                <w:sz w:val="18"/>
                <w:szCs w:val="18"/>
              </w:rPr>
              <w:t>Level</w:t>
            </w:r>
          </w:p>
        </w:tc>
        <w:tc>
          <w:tcPr>
            <w:tcW w:w="1384"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Total</w:t>
            </w:r>
          </w:p>
        </w:tc>
      </w:tr>
      <w:tr>
        <w:trPr>
          <w:cantSplit w:val="true"/>
        </w:trPr>
        <w:tc>
          <w:tcPr>
            <w:tcW w:w="1384" w:type="dxa"/>
            <w:tcBorders/>
          </w:tcPr>
          <w:p>
            <w:pPr>
              <w:pStyle w:val="normal1"/>
              <w:spacing w:lineRule="auto" w:line="480" w:before="0" w:after="0"/>
              <w:rPr>
                <w:sz w:val="18"/>
                <w:szCs w:val="18"/>
              </w:rPr>
            </w:pPr>
            <w:r>
              <w:rPr>
                <w:i w:val="false"/>
                <w:iCs w:val="false"/>
                <w:sz w:val="18"/>
                <w:szCs w:val="18"/>
              </w:rPr>
              <w:t>Agriculture</w:t>
            </w:r>
          </w:p>
        </w:tc>
        <w:tc>
          <w:tcPr>
            <w:tcW w:w="1383" w:type="dxa"/>
            <w:tcBorders/>
          </w:tcPr>
          <w:p>
            <w:pPr>
              <w:pStyle w:val="normal1"/>
              <w:spacing w:lineRule="auto" w:line="480" w:before="0" w:after="0"/>
              <w:rPr>
                <w:sz w:val="18"/>
                <w:szCs w:val="18"/>
              </w:rPr>
            </w:pPr>
            <w:r>
              <w:rPr>
                <w:i w:val="false"/>
                <w:iCs w:val="false"/>
                <w:sz w:val="18"/>
                <w:szCs w:val="18"/>
              </w:rPr>
              <w:t>14 (51.9%)</w:t>
            </w:r>
          </w:p>
        </w:tc>
        <w:tc>
          <w:tcPr>
            <w:tcW w:w="1385" w:type="dxa"/>
            <w:tcBorders/>
          </w:tcPr>
          <w:p>
            <w:pPr>
              <w:pStyle w:val="normal1"/>
              <w:spacing w:lineRule="auto" w:line="480" w:before="0" w:after="0"/>
              <w:rPr>
                <w:sz w:val="18"/>
                <w:szCs w:val="18"/>
              </w:rPr>
            </w:pPr>
            <w:r>
              <w:rPr>
                <w:i w:val="false"/>
                <w:iCs w:val="false"/>
                <w:sz w:val="18"/>
                <w:szCs w:val="18"/>
              </w:rPr>
              <w:t>13 (48.1%)</w:t>
            </w:r>
          </w:p>
        </w:tc>
        <w:tc>
          <w:tcPr>
            <w:tcW w:w="1384" w:type="dxa"/>
            <w:tcBorders/>
          </w:tcPr>
          <w:p>
            <w:pPr>
              <w:pStyle w:val="normal1"/>
              <w:spacing w:lineRule="auto" w:line="480" w:before="0" w:after="0"/>
              <w:rPr>
                <w:sz w:val="18"/>
                <w:szCs w:val="18"/>
              </w:rPr>
            </w:pPr>
            <w:r>
              <w:rPr>
                <w:i w:val="false"/>
                <w:iCs w:val="false"/>
                <w:sz w:val="18"/>
                <w:szCs w:val="18"/>
              </w:rPr>
              <w:t>0</w:t>
            </w:r>
          </w:p>
        </w:tc>
        <w:tc>
          <w:tcPr>
            <w:tcW w:w="1383" w:type="dxa"/>
            <w:tcBorders/>
          </w:tcPr>
          <w:p>
            <w:pPr>
              <w:pStyle w:val="normal1"/>
              <w:spacing w:lineRule="auto" w:line="480" w:before="0" w:after="0"/>
              <w:rPr>
                <w:sz w:val="18"/>
                <w:szCs w:val="18"/>
              </w:rPr>
            </w:pPr>
            <w:r>
              <w:rPr>
                <w:i w:val="false"/>
                <w:iCs w:val="false"/>
                <w:sz w:val="18"/>
                <w:szCs w:val="18"/>
              </w:rPr>
              <w:t>0</w:t>
            </w:r>
          </w:p>
        </w:tc>
        <w:tc>
          <w:tcPr>
            <w:tcW w:w="1384" w:type="dxa"/>
            <w:tcBorders/>
          </w:tcPr>
          <w:p>
            <w:pPr>
              <w:pStyle w:val="normal1"/>
              <w:spacing w:lineRule="auto" w:line="480" w:before="0" w:after="0"/>
              <w:rPr>
                <w:sz w:val="18"/>
                <w:szCs w:val="18"/>
              </w:rPr>
            </w:pPr>
            <w:r>
              <w:rPr>
                <w:i w:val="false"/>
                <w:iCs w:val="false"/>
                <w:sz w:val="18"/>
                <w:szCs w:val="18"/>
              </w:rPr>
              <w:t>27</w:t>
            </w:r>
          </w:p>
        </w:tc>
      </w:tr>
      <w:tr>
        <w:trPr>
          <w:cantSplit w:val="true"/>
        </w:trPr>
        <w:tc>
          <w:tcPr>
            <w:tcW w:w="1384" w:type="dxa"/>
            <w:tcBorders/>
          </w:tcPr>
          <w:p>
            <w:pPr>
              <w:pStyle w:val="normal1"/>
              <w:spacing w:lineRule="auto" w:line="480" w:before="0" w:after="0"/>
              <w:rPr>
                <w:sz w:val="18"/>
                <w:szCs w:val="18"/>
              </w:rPr>
            </w:pPr>
            <w:r>
              <w:rPr>
                <w:i w:val="false"/>
                <w:iCs w:val="false"/>
                <w:sz w:val="18"/>
                <w:szCs w:val="18"/>
              </w:rPr>
              <w:t>Biology</w:t>
            </w:r>
          </w:p>
        </w:tc>
        <w:tc>
          <w:tcPr>
            <w:tcW w:w="1383" w:type="dxa"/>
            <w:tcBorders/>
          </w:tcPr>
          <w:p>
            <w:pPr>
              <w:pStyle w:val="normal1"/>
              <w:spacing w:lineRule="auto" w:line="480" w:before="0" w:after="0"/>
              <w:rPr>
                <w:sz w:val="18"/>
                <w:szCs w:val="18"/>
              </w:rPr>
            </w:pPr>
            <w:r>
              <w:rPr>
                <w:i w:val="false"/>
                <w:iCs w:val="false"/>
                <w:sz w:val="18"/>
                <w:szCs w:val="18"/>
              </w:rPr>
              <w:t>5 (17.9%)</w:t>
            </w:r>
          </w:p>
        </w:tc>
        <w:tc>
          <w:tcPr>
            <w:tcW w:w="1385" w:type="dxa"/>
            <w:tcBorders/>
          </w:tcPr>
          <w:p>
            <w:pPr>
              <w:pStyle w:val="normal1"/>
              <w:spacing w:lineRule="auto" w:line="480" w:before="0" w:after="0"/>
              <w:rPr>
                <w:sz w:val="18"/>
                <w:szCs w:val="18"/>
              </w:rPr>
            </w:pPr>
            <w:r>
              <w:rPr>
                <w:i w:val="false"/>
                <w:iCs w:val="false"/>
                <w:sz w:val="18"/>
                <w:szCs w:val="18"/>
              </w:rPr>
              <w:t>20 (71.4%)</w:t>
            </w:r>
          </w:p>
        </w:tc>
        <w:tc>
          <w:tcPr>
            <w:tcW w:w="1384" w:type="dxa"/>
            <w:tcBorders/>
          </w:tcPr>
          <w:p>
            <w:pPr>
              <w:pStyle w:val="normal1"/>
              <w:spacing w:lineRule="auto" w:line="480" w:before="0" w:after="0"/>
              <w:rPr>
                <w:sz w:val="18"/>
                <w:szCs w:val="18"/>
              </w:rPr>
            </w:pPr>
            <w:r>
              <w:rPr>
                <w:i w:val="false"/>
                <w:iCs w:val="false"/>
                <w:sz w:val="18"/>
                <w:szCs w:val="18"/>
              </w:rPr>
              <w:t>3 (10.7%)</w:t>
            </w:r>
          </w:p>
        </w:tc>
        <w:tc>
          <w:tcPr>
            <w:tcW w:w="1383" w:type="dxa"/>
            <w:tcBorders/>
          </w:tcPr>
          <w:p>
            <w:pPr>
              <w:pStyle w:val="normal1"/>
              <w:spacing w:lineRule="auto" w:line="480" w:before="0" w:after="0"/>
              <w:rPr>
                <w:sz w:val="18"/>
                <w:szCs w:val="18"/>
              </w:rPr>
            </w:pPr>
            <w:r>
              <w:rPr>
                <w:i w:val="false"/>
                <w:iCs w:val="false"/>
                <w:sz w:val="18"/>
                <w:szCs w:val="18"/>
              </w:rPr>
              <w:t>0</w:t>
            </w:r>
          </w:p>
        </w:tc>
        <w:tc>
          <w:tcPr>
            <w:tcW w:w="1384" w:type="dxa"/>
            <w:tcBorders/>
          </w:tcPr>
          <w:p>
            <w:pPr>
              <w:pStyle w:val="normal1"/>
              <w:spacing w:lineRule="auto" w:line="480" w:before="0" w:after="0"/>
              <w:rPr>
                <w:sz w:val="18"/>
                <w:szCs w:val="18"/>
              </w:rPr>
            </w:pPr>
            <w:r>
              <w:rPr>
                <w:i w:val="false"/>
                <w:iCs w:val="false"/>
                <w:sz w:val="18"/>
                <w:szCs w:val="18"/>
              </w:rPr>
              <w:t>28</w:t>
            </w:r>
          </w:p>
        </w:tc>
      </w:tr>
      <w:tr>
        <w:trPr>
          <w:cantSplit w:val="true"/>
        </w:trPr>
        <w:tc>
          <w:tcPr>
            <w:tcW w:w="1384" w:type="dxa"/>
            <w:tcBorders/>
          </w:tcPr>
          <w:p>
            <w:pPr>
              <w:pStyle w:val="normal1"/>
              <w:spacing w:lineRule="auto" w:line="480" w:before="0" w:after="0"/>
              <w:rPr>
                <w:sz w:val="18"/>
                <w:szCs w:val="18"/>
              </w:rPr>
            </w:pPr>
            <w:r>
              <w:rPr>
                <w:i w:val="false"/>
                <w:iCs w:val="false"/>
                <w:sz w:val="18"/>
                <w:szCs w:val="18"/>
              </w:rPr>
              <w:t>Veterinary Medicine</w:t>
            </w:r>
          </w:p>
        </w:tc>
        <w:tc>
          <w:tcPr>
            <w:tcW w:w="1383" w:type="dxa"/>
            <w:tcBorders/>
          </w:tcPr>
          <w:p>
            <w:pPr>
              <w:pStyle w:val="normal1"/>
              <w:spacing w:lineRule="auto" w:line="480" w:before="0" w:after="0"/>
              <w:rPr>
                <w:sz w:val="18"/>
                <w:szCs w:val="18"/>
              </w:rPr>
            </w:pPr>
            <w:r>
              <w:rPr>
                <w:i w:val="false"/>
                <w:iCs w:val="false"/>
                <w:sz w:val="18"/>
                <w:szCs w:val="18"/>
              </w:rPr>
              <w:t>2 (20.0%)</w:t>
            </w:r>
          </w:p>
        </w:tc>
        <w:tc>
          <w:tcPr>
            <w:tcW w:w="1385" w:type="dxa"/>
            <w:tcBorders/>
          </w:tcPr>
          <w:p>
            <w:pPr>
              <w:pStyle w:val="normal1"/>
              <w:spacing w:lineRule="auto" w:line="480" w:before="0" w:after="0"/>
              <w:rPr>
                <w:sz w:val="18"/>
                <w:szCs w:val="18"/>
              </w:rPr>
            </w:pPr>
            <w:r>
              <w:rPr>
                <w:i w:val="false"/>
                <w:iCs w:val="false"/>
                <w:sz w:val="18"/>
                <w:szCs w:val="18"/>
              </w:rPr>
              <w:t>8 (80.0%)</w:t>
            </w:r>
          </w:p>
        </w:tc>
        <w:tc>
          <w:tcPr>
            <w:tcW w:w="1384" w:type="dxa"/>
            <w:tcBorders/>
          </w:tcPr>
          <w:p>
            <w:pPr>
              <w:pStyle w:val="normal1"/>
              <w:spacing w:lineRule="auto" w:line="480" w:before="0" w:after="0"/>
              <w:rPr>
                <w:sz w:val="18"/>
                <w:szCs w:val="18"/>
              </w:rPr>
            </w:pPr>
            <w:r>
              <w:rPr>
                <w:i w:val="false"/>
                <w:iCs w:val="false"/>
                <w:sz w:val="18"/>
                <w:szCs w:val="18"/>
              </w:rPr>
              <w:t>0</w:t>
            </w:r>
          </w:p>
        </w:tc>
        <w:tc>
          <w:tcPr>
            <w:tcW w:w="1383" w:type="dxa"/>
            <w:tcBorders/>
          </w:tcPr>
          <w:p>
            <w:pPr>
              <w:pStyle w:val="normal1"/>
              <w:spacing w:lineRule="auto" w:line="480" w:before="0" w:after="0"/>
              <w:rPr>
                <w:sz w:val="18"/>
                <w:szCs w:val="18"/>
              </w:rPr>
            </w:pPr>
            <w:r>
              <w:rPr>
                <w:i w:val="false"/>
                <w:iCs w:val="false"/>
                <w:sz w:val="18"/>
                <w:szCs w:val="18"/>
              </w:rPr>
              <w:t>0</w:t>
            </w:r>
          </w:p>
        </w:tc>
        <w:tc>
          <w:tcPr>
            <w:tcW w:w="1384" w:type="dxa"/>
            <w:tcBorders/>
          </w:tcPr>
          <w:p>
            <w:pPr>
              <w:pStyle w:val="normal1"/>
              <w:spacing w:lineRule="auto" w:line="480" w:before="0" w:after="0"/>
              <w:rPr>
                <w:sz w:val="18"/>
                <w:szCs w:val="18"/>
              </w:rPr>
            </w:pPr>
            <w:r>
              <w:rPr>
                <w:i w:val="false"/>
                <w:iCs w:val="false"/>
                <w:sz w:val="18"/>
                <w:szCs w:val="18"/>
              </w:rPr>
              <w:t>10</w:t>
            </w:r>
          </w:p>
        </w:tc>
      </w:tr>
      <w:tr>
        <w:trPr>
          <w:cantSplit w:val="true"/>
        </w:trPr>
        <w:tc>
          <w:tcPr>
            <w:tcW w:w="1384" w:type="dxa"/>
            <w:tcBorders>
              <w:bottom w:val="single" w:sz="18" w:space="0" w:color="000000"/>
            </w:tcBorders>
          </w:tcPr>
          <w:p>
            <w:pPr>
              <w:pStyle w:val="normal1"/>
              <w:spacing w:lineRule="auto" w:line="480" w:before="0" w:after="0"/>
              <w:rPr>
                <w:sz w:val="18"/>
                <w:szCs w:val="18"/>
              </w:rPr>
            </w:pPr>
            <w:r>
              <w:rPr>
                <w:i w:val="false"/>
                <w:iCs w:val="false"/>
                <w:sz w:val="18"/>
                <w:szCs w:val="18"/>
              </w:rPr>
              <w:t>Total</w:t>
            </w:r>
          </w:p>
        </w:tc>
        <w:tc>
          <w:tcPr>
            <w:tcW w:w="1383" w:type="dxa"/>
            <w:tcBorders>
              <w:bottom w:val="single" w:sz="18" w:space="0" w:color="000000"/>
            </w:tcBorders>
          </w:tcPr>
          <w:p>
            <w:pPr>
              <w:pStyle w:val="normal1"/>
              <w:spacing w:lineRule="auto" w:line="480" w:before="0" w:after="0"/>
              <w:rPr>
                <w:sz w:val="18"/>
                <w:szCs w:val="18"/>
              </w:rPr>
            </w:pPr>
            <w:r>
              <w:rPr>
                <w:i w:val="false"/>
                <w:iCs w:val="false"/>
                <w:sz w:val="18"/>
                <w:szCs w:val="18"/>
              </w:rPr>
              <w:t>21 (32.3%)</w:t>
            </w:r>
          </w:p>
        </w:tc>
        <w:tc>
          <w:tcPr>
            <w:tcW w:w="1385" w:type="dxa"/>
            <w:tcBorders>
              <w:bottom w:val="single" w:sz="18" w:space="0" w:color="000000"/>
            </w:tcBorders>
          </w:tcPr>
          <w:p>
            <w:pPr>
              <w:pStyle w:val="normal1"/>
              <w:spacing w:lineRule="auto" w:line="480" w:before="0" w:after="0"/>
              <w:rPr>
                <w:sz w:val="18"/>
                <w:szCs w:val="18"/>
              </w:rPr>
            </w:pPr>
            <w:r>
              <w:rPr>
                <w:i w:val="false"/>
                <w:iCs w:val="false"/>
                <w:sz w:val="18"/>
                <w:szCs w:val="18"/>
              </w:rPr>
              <w:t>41 (63.1%)</w:t>
            </w:r>
          </w:p>
        </w:tc>
        <w:tc>
          <w:tcPr>
            <w:tcW w:w="1384" w:type="dxa"/>
            <w:tcBorders>
              <w:bottom w:val="single" w:sz="18" w:space="0" w:color="000000"/>
            </w:tcBorders>
          </w:tcPr>
          <w:p>
            <w:pPr>
              <w:pStyle w:val="normal1"/>
              <w:spacing w:lineRule="auto" w:line="480" w:before="0" w:after="0"/>
              <w:rPr>
                <w:sz w:val="18"/>
                <w:szCs w:val="18"/>
              </w:rPr>
            </w:pPr>
            <w:r>
              <w:rPr>
                <w:i w:val="false"/>
                <w:iCs w:val="false"/>
                <w:sz w:val="18"/>
                <w:szCs w:val="18"/>
              </w:rPr>
              <w:t>3 (4.6%)</w:t>
            </w:r>
          </w:p>
        </w:tc>
        <w:tc>
          <w:tcPr>
            <w:tcW w:w="1383" w:type="dxa"/>
            <w:tcBorders>
              <w:bottom w:val="single" w:sz="18" w:space="0" w:color="000000"/>
            </w:tcBorders>
          </w:tcPr>
          <w:p>
            <w:pPr>
              <w:pStyle w:val="normal1"/>
              <w:spacing w:lineRule="auto" w:line="480" w:before="0" w:after="0"/>
              <w:rPr>
                <w:sz w:val="18"/>
                <w:szCs w:val="18"/>
              </w:rPr>
            </w:pPr>
            <w:r>
              <w:rPr>
                <w:i w:val="false"/>
                <w:iCs w:val="false"/>
                <w:sz w:val="18"/>
                <w:szCs w:val="18"/>
              </w:rPr>
              <w:t>0</w:t>
            </w:r>
          </w:p>
        </w:tc>
        <w:tc>
          <w:tcPr>
            <w:tcW w:w="1384" w:type="dxa"/>
            <w:tcBorders>
              <w:bottom w:val="single" w:sz="18" w:space="0" w:color="000000"/>
            </w:tcBorders>
          </w:tcPr>
          <w:p>
            <w:pPr>
              <w:pStyle w:val="normal1"/>
              <w:spacing w:lineRule="auto" w:line="480" w:before="0" w:after="0"/>
              <w:rPr>
                <w:sz w:val="18"/>
                <w:szCs w:val="18"/>
              </w:rPr>
            </w:pPr>
            <w:r>
              <w:rPr>
                <w:i w:val="false"/>
                <w:iCs w:val="false"/>
                <w:sz w:val="18"/>
                <w:szCs w:val="18"/>
              </w:rPr>
              <w:t>65</w:t>
            </w:r>
          </w:p>
        </w:tc>
      </w:tr>
    </w:tbl>
    <w:p>
      <w:pPr>
        <w:pStyle w:val="normal1"/>
        <w:spacing w:lineRule="auto" w:line="480" w:before="240" w:after="0"/>
        <w:ind w:firstLine="720"/>
        <w:jc w:val="both"/>
        <w:rPr/>
      </w:pPr>
      <w:r>
        <w:rPr>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p>
    <w:p>
      <w:pPr>
        <w:pStyle w:val="normal1"/>
        <w:spacing w:lineRule="auto" w:line="480" w:before="0" w:after="0"/>
        <w:ind w:firstLine="720"/>
        <w:jc w:val="both"/>
        <w:rPr/>
      </w:pPr>
      <w:r>
        <w:rPr>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p>
    <w:p>
      <w:pPr>
        <w:pStyle w:val="normal1"/>
        <w:spacing w:lineRule="auto" w:line="480" w:before="0" w:after="0"/>
        <w:ind w:firstLine="720"/>
        <w:jc w:val="both"/>
        <w:rPr/>
      </w:pPr>
      <w:r>
        <w:rPr>
          <w:sz w:val="22"/>
          <w:szCs w:val="22"/>
        </w:rPr>
        <w:t>Alongside the 65 retained EC hedges (and P = 0), the corpus yielded 58 false positive tokens, hedge-like words that failed the claim condition or both removal checks at Step 2. Table 6 (Part III) places these totals side by side. The false positive breakdown shows FP-Gen (general exclusion, including topic-naming and evidential pointers) at 33 instances, FP-Rec (recommendations) at 15, FP-Proc (procedural norms) at 2, and FP-Cap (capability) at 8. The high number of FP-Gen tokens reflects topic-naming potential and similar non-claim frames rather than a pre-filter applied before Step 2.</w:t>
      </w:r>
    </w:p>
    <w:p>
      <w:pPr>
        <w:pStyle w:val="normal1"/>
        <w:spacing w:lineRule="auto" w:line="480" w:before="0" w:after="0"/>
        <w:ind w:firstLine="720"/>
        <w:jc w:val="both"/>
        <w:rPr/>
      </w:pPr>
      <w:r>
        <w:rPr>
          <w:sz w:val="22"/>
          <w:szCs w:val="22"/>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p>
    <w:p>
      <w:pPr>
        <w:pStyle w:val="normal1"/>
        <w:spacing w:lineRule="auto" w:line="480" w:before="0" w:after="0"/>
        <w:ind w:firstLine="720"/>
        <w:jc w:val="both"/>
        <w:rPr/>
      </w:pPr>
      <w:r>
        <w:rPr>
          <w:sz w:val="22"/>
          <w:szCs w:val="22"/>
        </w:rPr>
        <w:t xml:space="preserve">A limited count of assertive reporting forms in the 25 zero-hedge abstracts found recurring items such as </w:t>
      </w:r>
      <w:r>
        <w:rPr>
          <w:i/>
          <w:iCs/>
          <w:sz w:val="22"/>
          <w:szCs w:val="22"/>
        </w:rPr>
        <w:t>showed, revealed, observed</w:t>
      </w:r>
      <w:r>
        <w:rPr>
          <w:sz w:val="22"/>
          <w:szCs w:val="22"/>
        </w:rPr>
        <w:t xml:space="preserve">, and </w:t>
      </w:r>
      <w:r>
        <w:rPr>
          <w:i/>
          <w:iCs/>
          <w:sz w:val="22"/>
          <w:szCs w:val="22"/>
        </w:rPr>
        <w:t>highest</w:t>
      </w:r>
      <w:r>
        <w:rPr>
          <w:sz w:val="22"/>
          <w:szCs w:val="22"/>
        </w:rPr>
        <w:t xml:space="preserve"> (79 tokens in total, roughly 3.2 per abstract). These forms are reporting verbs and a superlative rather than a closed booster set. The same count was not run on the 35 hedged abstracts, so it describes the zero-hedge subset only and supports no comparison with hedged abstracts.</w:t>
      </w:r>
    </w:p>
    <w:p>
      <w:pPr>
        <w:pStyle w:val="normal1"/>
        <w:keepNext w:val="true"/>
        <w:spacing w:lineRule="auto" w:line="480" w:before="240" w:after="120"/>
        <w:ind w:hanging="0"/>
        <w:rPr/>
      </w:pPr>
      <w:r>
        <w:rPr>
          <w:b/>
          <w:bCs/>
          <w:sz w:val="24"/>
          <w:szCs w:val="24"/>
        </w:rPr>
        <w:t>Part II: How Much Caution the Abstracts Display</w:t>
      </w:r>
    </w:p>
    <w:p>
      <w:pPr>
        <w:pStyle w:val="normal1"/>
        <w:spacing w:lineRule="auto" w:line="480" w:before="0" w:after="0"/>
        <w:ind w:firstLine="720"/>
        <w:jc w:val="both"/>
        <w:rPr/>
      </w:pPr>
      <w:r>
        <w:rPr>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p>
    <w:p>
      <w:pPr>
        <w:pStyle w:val="normal1"/>
        <w:keepNext w:val="true"/>
        <w:spacing w:lineRule="auto" w:line="480" w:before="720" w:after="0"/>
        <w:jc w:val="center"/>
        <w:rPr/>
      </w:pPr>
      <w:r>
        <w:rPr>
          <w:b/>
          <w:bCs/>
          <w:sz w:val="22"/>
          <w:szCs w:val="22"/>
        </w:rPr>
        <w:t>Table 5</w:t>
      </w:r>
    </w:p>
    <w:p>
      <w:pPr>
        <w:pStyle w:val="normal1"/>
        <w:keepNext w:val="true"/>
        <w:spacing w:lineRule="auto" w:line="480" w:before="0" w:after="60"/>
        <w:jc w:val="center"/>
        <w:rPr/>
      </w:pPr>
      <w:r>
        <w:rPr>
          <w:sz w:val="22"/>
          <w:szCs w:val="22"/>
        </w:rPr>
        <w:t>Hedge Frequency by Discipline</w:t>
      </w:r>
    </w:p>
    <w:tbl>
      <w:tblPr>
        <w:tblStyle w:val="Table5"/>
        <w:tblW w:w="8355" w:type="dxa"/>
        <w:jc w:val="left"/>
        <w:tblInd w:w="-115" w:type="dxa"/>
        <w:tblLayout w:type="fixed"/>
        <w:tblCellMar>
          <w:top w:w="0" w:type="dxa"/>
          <w:left w:w="108" w:type="dxa"/>
          <w:bottom w:w="0" w:type="dxa"/>
          <w:right w:w="108" w:type="dxa"/>
        </w:tblCellMar>
        <w:tblLook w:val="0400"/>
      </w:tblPr>
      <w:tblGrid>
        <w:gridCol w:w="1214"/>
        <w:gridCol w:w="1171"/>
        <w:gridCol w:w="900"/>
        <w:gridCol w:w="930"/>
        <w:gridCol w:w="599"/>
        <w:gridCol w:w="1356"/>
        <w:gridCol w:w="1000"/>
        <w:gridCol w:w="1184"/>
      </w:tblGrid>
      <w:tr>
        <w:trPr>
          <w:tblHeader w:val="true"/>
          <w:cantSplit w:val="true"/>
        </w:trPr>
        <w:tc>
          <w:tcPr>
            <w:tcW w:w="1214"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Discipline</w:t>
            </w:r>
          </w:p>
        </w:tc>
        <w:tc>
          <w:tcPr>
            <w:tcW w:w="1171"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Abstracts</w:t>
            </w:r>
          </w:p>
        </w:tc>
        <w:tc>
          <w:tcPr>
            <w:tcW w:w="900"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Words</w:t>
            </w:r>
          </w:p>
        </w:tc>
        <w:tc>
          <w:tcPr>
            <w:tcW w:w="930"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Hedges</w:t>
            </w:r>
          </w:p>
        </w:tc>
        <w:tc>
          <w:tcPr>
            <w:tcW w:w="599"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FPs</w:t>
            </w:r>
          </w:p>
        </w:tc>
        <w:tc>
          <w:tcPr>
            <w:tcW w:w="1356" w:type="dxa"/>
            <w:tcBorders>
              <w:top w:val="single" w:sz="18" w:space="0" w:color="000000"/>
              <w:bottom w:val="single" w:sz="4" w:space="0" w:color="000000"/>
            </w:tcBorders>
          </w:tcPr>
          <w:p>
            <w:pPr>
              <w:pStyle w:val="normal1"/>
              <w:spacing w:lineRule="auto" w:line="480" w:before="0" w:after="0"/>
              <w:jc w:val="center"/>
              <w:rPr>
                <w:sz w:val="18"/>
                <w:szCs w:val="18"/>
              </w:rPr>
            </w:pPr>
            <w:r>
              <w:rPr>
                <w:b/>
                <w:bCs/>
                <w:i w:val="false"/>
                <w:iCs w:val="false"/>
                <w:sz w:val="18"/>
                <w:szCs w:val="18"/>
              </w:rPr>
              <w:t>Unhedged</w:t>
              <w:br/>
              <w:t>assertions</w:t>
            </w:r>
          </w:p>
        </w:tc>
        <w:tc>
          <w:tcPr>
            <w:tcW w:w="1000" w:type="dxa"/>
            <w:tcBorders>
              <w:top w:val="single" w:sz="18" w:space="0" w:color="000000"/>
              <w:bottom w:val="single" w:sz="4" w:space="0" w:color="000000"/>
            </w:tcBorders>
          </w:tcPr>
          <w:p>
            <w:pPr>
              <w:pStyle w:val="normal1"/>
              <w:spacing w:lineRule="auto" w:line="480" w:before="0" w:after="0"/>
              <w:rPr>
                <w:b/>
                <w:bCs/>
                <w:sz w:val="18"/>
                <w:szCs w:val="18"/>
              </w:rPr>
            </w:pPr>
            <w:r>
              <w:rPr>
                <w:b/>
                <w:bCs/>
                <w:i w:val="false"/>
                <w:iCs w:val="false"/>
                <w:sz w:val="18"/>
                <w:szCs w:val="18"/>
              </w:rPr>
              <w:t>Zero-</w:t>
            </w:r>
          </w:p>
          <w:p>
            <w:pPr>
              <w:pStyle w:val="normal1"/>
              <w:spacing w:lineRule="auto" w:line="480" w:before="0" w:after="0"/>
              <w:rPr>
                <w:sz w:val="18"/>
                <w:szCs w:val="18"/>
              </w:rPr>
            </w:pPr>
            <w:r>
              <w:rPr>
                <w:b/>
                <w:bCs/>
                <w:i w:val="false"/>
                <w:iCs w:val="false"/>
                <w:sz w:val="18"/>
                <w:szCs w:val="18"/>
              </w:rPr>
              <w:t>Hedge</w:t>
            </w:r>
          </w:p>
        </w:tc>
        <w:tc>
          <w:tcPr>
            <w:tcW w:w="1184" w:type="dxa"/>
            <w:tcBorders>
              <w:top w:val="single" w:sz="18" w:space="0" w:color="000000"/>
              <w:bottom w:val="single" w:sz="4" w:space="0" w:color="000000"/>
            </w:tcBorders>
          </w:tcPr>
          <w:p>
            <w:pPr>
              <w:pStyle w:val="normal1"/>
              <w:spacing w:lineRule="auto" w:line="480" w:before="0" w:after="0"/>
              <w:rPr>
                <w:b/>
                <w:bCs/>
                <w:i w:val="false"/>
                <w:i w:val="false"/>
                <w:iCs w:val="false"/>
                <w:sz w:val="18"/>
                <w:szCs w:val="18"/>
              </w:rPr>
            </w:pPr>
            <w:r>
              <w:rPr>
                <w:b/>
                <w:bCs/>
                <w:i w:val="false"/>
                <w:iCs w:val="false"/>
                <w:sz w:val="18"/>
                <w:szCs w:val="18"/>
              </w:rPr>
              <w:t>Hedges/</w:t>
            </w:r>
          </w:p>
          <w:p>
            <w:pPr>
              <w:pStyle w:val="normal1"/>
              <w:spacing w:lineRule="auto" w:line="480" w:before="0" w:after="0"/>
              <w:rPr>
                <w:sz w:val="18"/>
                <w:szCs w:val="18"/>
              </w:rPr>
            </w:pPr>
            <w:r>
              <w:rPr>
                <w:b/>
                <w:bCs/>
                <w:i w:val="false"/>
                <w:iCs w:val="false"/>
                <w:sz w:val="18"/>
                <w:szCs w:val="18"/>
              </w:rPr>
              <w:t>100w</w:t>
            </w:r>
          </w:p>
        </w:tc>
      </w:tr>
      <w:tr>
        <w:trPr>
          <w:cantSplit w:val="true"/>
        </w:trPr>
        <w:tc>
          <w:tcPr>
            <w:tcW w:w="1214" w:type="dxa"/>
            <w:tcBorders/>
          </w:tcPr>
          <w:p>
            <w:pPr>
              <w:pStyle w:val="normal1"/>
              <w:spacing w:lineRule="auto" w:line="480" w:before="0" w:after="0"/>
              <w:rPr>
                <w:sz w:val="18"/>
                <w:szCs w:val="18"/>
              </w:rPr>
            </w:pPr>
            <w:r>
              <w:rPr>
                <w:i w:val="false"/>
                <w:iCs w:val="false"/>
                <w:sz w:val="18"/>
                <w:szCs w:val="18"/>
              </w:rPr>
              <w:t>Agriculture</w:t>
            </w:r>
          </w:p>
        </w:tc>
        <w:tc>
          <w:tcPr>
            <w:tcW w:w="1171" w:type="dxa"/>
            <w:tcBorders/>
          </w:tcPr>
          <w:p>
            <w:pPr>
              <w:pStyle w:val="normal1"/>
              <w:spacing w:lineRule="auto" w:line="480" w:before="0" w:after="0"/>
              <w:rPr>
                <w:sz w:val="18"/>
                <w:szCs w:val="18"/>
              </w:rPr>
            </w:pPr>
            <w:r>
              <w:rPr>
                <w:i w:val="false"/>
                <w:iCs w:val="false"/>
                <w:sz w:val="18"/>
                <w:szCs w:val="18"/>
              </w:rPr>
              <w:t>20</w:t>
            </w:r>
          </w:p>
        </w:tc>
        <w:tc>
          <w:tcPr>
            <w:tcW w:w="900" w:type="dxa"/>
            <w:tcBorders/>
          </w:tcPr>
          <w:p>
            <w:pPr>
              <w:pStyle w:val="normal1"/>
              <w:spacing w:lineRule="auto" w:line="480" w:before="0" w:after="0"/>
              <w:rPr>
                <w:sz w:val="18"/>
                <w:szCs w:val="18"/>
              </w:rPr>
            </w:pPr>
            <w:r>
              <w:rPr>
                <w:i w:val="false"/>
                <w:iCs w:val="false"/>
                <w:sz w:val="18"/>
                <w:szCs w:val="18"/>
              </w:rPr>
              <w:t>4,300</w:t>
            </w:r>
          </w:p>
        </w:tc>
        <w:tc>
          <w:tcPr>
            <w:tcW w:w="930" w:type="dxa"/>
            <w:tcBorders/>
          </w:tcPr>
          <w:p>
            <w:pPr>
              <w:pStyle w:val="normal1"/>
              <w:spacing w:lineRule="auto" w:line="480" w:before="0" w:after="0"/>
              <w:rPr>
                <w:sz w:val="18"/>
                <w:szCs w:val="18"/>
              </w:rPr>
            </w:pPr>
            <w:r>
              <w:rPr>
                <w:i w:val="false"/>
                <w:iCs w:val="false"/>
                <w:sz w:val="18"/>
                <w:szCs w:val="18"/>
              </w:rPr>
              <w:t>27</w:t>
            </w:r>
          </w:p>
        </w:tc>
        <w:tc>
          <w:tcPr>
            <w:tcW w:w="599" w:type="dxa"/>
            <w:tcBorders/>
          </w:tcPr>
          <w:p>
            <w:pPr>
              <w:pStyle w:val="normal1"/>
              <w:spacing w:lineRule="auto" w:line="480" w:before="0" w:after="0"/>
              <w:rPr>
                <w:sz w:val="18"/>
                <w:szCs w:val="18"/>
              </w:rPr>
            </w:pPr>
            <w:r>
              <w:rPr>
                <w:i w:val="false"/>
                <w:iCs w:val="false"/>
                <w:sz w:val="18"/>
                <w:szCs w:val="18"/>
              </w:rPr>
              <w:t>14</w:t>
            </w:r>
          </w:p>
        </w:tc>
        <w:tc>
          <w:tcPr>
            <w:tcW w:w="1356" w:type="dxa"/>
            <w:tcBorders/>
          </w:tcPr>
          <w:p>
            <w:pPr>
              <w:pStyle w:val="normal1"/>
              <w:spacing w:lineRule="auto" w:line="480" w:before="0" w:after="0"/>
              <w:rPr>
                <w:sz w:val="18"/>
                <w:szCs w:val="18"/>
              </w:rPr>
            </w:pPr>
            <w:r>
              <w:rPr>
                <w:i w:val="false"/>
                <w:iCs w:val="false"/>
                <w:sz w:val="18"/>
                <w:szCs w:val="18"/>
              </w:rPr>
              <w:t>6</w:t>
            </w:r>
          </w:p>
        </w:tc>
        <w:tc>
          <w:tcPr>
            <w:tcW w:w="1000" w:type="dxa"/>
            <w:tcBorders/>
          </w:tcPr>
          <w:p>
            <w:pPr>
              <w:pStyle w:val="normal1"/>
              <w:spacing w:lineRule="auto" w:line="480" w:before="0" w:after="0"/>
              <w:rPr>
                <w:sz w:val="18"/>
                <w:szCs w:val="18"/>
              </w:rPr>
            </w:pPr>
            <w:r>
              <w:rPr>
                <w:i w:val="false"/>
                <w:iCs w:val="false"/>
                <w:sz w:val="18"/>
                <w:szCs w:val="18"/>
              </w:rPr>
              <w:t>8</w:t>
            </w:r>
          </w:p>
        </w:tc>
        <w:tc>
          <w:tcPr>
            <w:tcW w:w="1184" w:type="dxa"/>
            <w:tcBorders/>
          </w:tcPr>
          <w:p>
            <w:pPr>
              <w:pStyle w:val="normal1"/>
              <w:spacing w:lineRule="auto" w:line="480" w:before="0" w:after="0"/>
              <w:rPr>
                <w:sz w:val="18"/>
                <w:szCs w:val="18"/>
              </w:rPr>
            </w:pPr>
            <w:r>
              <w:rPr>
                <w:i w:val="false"/>
                <w:iCs w:val="false"/>
                <w:sz w:val="18"/>
                <w:szCs w:val="18"/>
              </w:rPr>
              <w:t>0.63</w:t>
            </w:r>
          </w:p>
        </w:tc>
      </w:tr>
      <w:tr>
        <w:trPr>
          <w:cantSplit w:val="true"/>
        </w:trPr>
        <w:tc>
          <w:tcPr>
            <w:tcW w:w="1214" w:type="dxa"/>
            <w:tcBorders/>
          </w:tcPr>
          <w:p>
            <w:pPr>
              <w:pStyle w:val="normal1"/>
              <w:spacing w:lineRule="auto" w:line="480" w:before="0" w:after="0"/>
              <w:rPr>
                <w:sz w:val="18"/>
                <w:szCs w:val="18"/>
              </w:rPr>
            </w:pPr>
            <w:r>
              <w:rPr>
                <w:i w:val="false"/>
                <w:iCs w:val="false"/>
                <w:sz w:val="18"/>
                <w:szCs w:val="18"/>
              </w:rPr>
              <w:t>Biology</w:t>
            </w:r>
          </w:p>
        </w:tc>
        <w:tc>
          <w:tcPr>
            <w:tcW w:w="1171" w:type="dxa"/>
            <w:tcBorders/>
          </w:tcPr>
          <w:p>
            <w:pPr>
              <w:pStyle w:val="normal1"/>
              <w:spacing w:lineRule="auto" w:line="480" w:before="0" w:after="0"/>
              <w:rPr>
                <w:sz w:val="18"/>
                <w:szCs w:val="18"/>
              </w:rPr>
            </w:pPr>
            <w:r>
              <w:rPr>
                <w:i w:val="false"/>
                <w:iCs w:val="false"/>
                <w:sz w:val="18"/>
                <w:szCs w:val="18"/>
              </w:rPr>
              <w:t>20</w:t>
            </w:r>
          </w:p>
        </w:tc>
        <w:tc>
          <w:tcPr>
            <w:tcW w:w="900" w:type="dxa"/>
            <w:tcBorders/>
          </w:tcPr>
          <w:p>
            <w:pPr>
              <w:pStyle w:val="normal1"/>
              <w:spacing w:lineRule="auto" w:line="480" w:before="0" w:after="0"/>
              <w:rPr>
                <w:sz w:val="18"/>
                <w:szCs w:val="18"/>
              </w:rPr>
            </w:pPr>
            <w:r>
              <w:rPr>
                <w:i w:val="false"/>
                <w:iCs w:val="false"/>
                <w:sz w:val="18"/>
                <w:szCs w:val="18"/>
              </w:rPr>
              <w:t>4,509</w:t>
            </w:r>
          </w:p>
        </w:tc>
        <w:tc>
          <w:tcPr>
            <w:tcW w:w="930" w:type="dxa"/>
            <w:tcBorders/>
          </w:tcPr>
          <w:p>
            <w:pPr>
              <w:pStyle w:val="normal1"/>
              <w:spacing w:lineRule="auto" w:line="480" w:before="0" w:after="0"/>
              <w:rPr>
                <w:sz w:val="18"/>
                <w:szCs w:val="18"/>
              </w:rPr>
            </w:pPr>
            <w:r>
              <w:rPr>
                <w:i w:val="false"/>
                <w:iCs w:val="false"/>
                <w:sz w:val="18"/>
                <w:szCs w:val="18"/>
              </w:rPr>
              <w:t>28</w:t>
            </w:r>
          </w:p>
        </w:tc>
        <w:tc>
          <w:tcPr>
            <w:tcW w:w="599" w:type="dxa"/>
            <w:tcBorders/>
          </w:tcPr>
          <w:p>
            <w:pPr>
              <w:pStyle w:val="normal1"/>
              <w:spacing w:lineRule="auto" w:line="480" w:before="0" w:after="0"/>
              <w:rPr>
                <w:sz w:val="18"/>
                <w:szCs w:val="18"/>
              </w:rPr>
            </w:pPr>
            <w:r>
              <w:rPr>
                <w:i w:val="false"/>
                <w:iCs w:val="false"/>
                <w:sz w:val="18"/>
                <w:szCs w:val="18"/>
              </w:rPr>
              <w:t>32</w:t>
            </w:r>
          </w:p>
        </w:tc>
        <w:tc>
          <w:tcPr>
            <w:tcW w:w="1356" w:type="dxa"/>
            <w:tcBorders/>
          </w:tcPr>
          <w:p>
            <w:pPr>
              <w:pStyle w:val="normal1"/>
              <w:spacing w:lineRule="auto" w:line="480" w:before="0" w:after="0"/>
              <w:rPr>
                <w:sz w:val="18"/>
                <w:szCs w:val="18"/>
              </w:rPr>
            </w:pPr>
            <w:r>
              <w:rPr>
                <w:i w:val="false"/>
                <w:iCs w:val="false"/>
                <w:sz w:val="18"/>
                <w:szCs w:val="18"/>
              </w:rPr>
              <w:t>4</w:t>
            </w:r>
          </w:p>
        </w:tc>
        <w:tc>
          <w:tcPr>
            <w:tcW w:w="1000" w:type="dxa"/>
            <w:tcBorders/>
          </w:tcPr>
          <w:p>
            <w:pPr>
              <w:pStyle w:val="normal1"/>
              <w:spacing w:lineRule="auto" w:line="480" w:before="0" w:after="0"/>
              <w:rPr>
                <w:sz w:val="18"/>
                <w:szCs w:val="18"/>
              </w:rPr>
            </w:pPr>
            <w:r>
              <w:rPr>
                <w:i w:val="false"/>
                <w:iCs w:val="false"/>
                <w:sz w:val="18"/>
                <w:szCs w:val="18"/>
              </w:rPr>
              <w:t>5</w:t>
            </w:r>
          </w:p>
        </w:tc>
        <w:tc>
          <w:tcPr>
            <w:tcW w:w="1184" w:type="dxa"/>
            <w:tcBorders/>
          </w:tcPr>
          <w:p>
            <w:pPr>
              <w:pStyle w:val="normal1"/>
              <w:spacing w:lineRule="auto" w:line="480" w:before="0" w:after="0"/>
              <w:rPr>
                <w:sz w:val="18"/>
                <w:szCs w:val="18"/>
              </w:rPr>
            </w:pPr>
            <w:r>
              <w:rPr>
                <w:i w:val="false"/>
                <w:iCs w:val="false"/>
                <w:sz w:val="18"/>
                <w:szCs w:val="18"/>
              </w:rPr>
              <w:t>0.62</w:t>
            </w:r>
          </w:p>
        </w:tc>
      </w:tr>
      <w:tr>
        <w:trPr>
          <w:cantSplit w:val="true"/>
        </w:trPr>
        <w:tc>
          <w:tcPr>
            <w:tcW w:w="1214" w:type="dxa"/>
            <w:tcBorders/>
          </w:tcPr>
          <w:p>
            <w:pPr>
              <w:pStyle w:val="normal1"/>
              <w:spacing w:lineRule="auto" w:line="480" w:before="0" w:after="0"/>
              <w:rPr>
                <w:sz w:val="18"/>
                <w:szCs w:val="18"/>
              </w:rPr>
            </w:pPr>
            <w:r>
              <w:rPr>
                <w:i w:val="false"/>
                <w:iCs w:val="false"/>
                <w:sz w:val="18"/>
                <w:szCs w:val="18"/>
              </w:rPr>
              <w:t>Veterinary Medicine</w:t>
            </w:r>
          </w:p>
        </w:tc>
        <w:tc>
          <w:tcPr>
            <w:tcW w:w="1171" w:type="dxa"/>
            <w:tcBorders/>
          </w:tcPr>
          <w:p>
            <w:pPr>
              <w:pStyle w:val="normal1"/>
              <w:spacing w:lineRule="auto" w:line="480" w:before="0" w:after="0"/>
              <w:rPr>
                <w:sz w:val="18"/>
                <w:szCs w:val="18"/>
              </w:rPr>
            </w:pPr>
            <w:r>
              <w:rPr>
                <w:i w:val="false"/>
                <w:iCs w:val="false"/>
                <w:sz w:val="18"/>
                <w:szCs w:val="18"/>
              </w:rPr>
              <w:t>20</w:t>
            </w:r>
          </w:p>
        </w:tc>
        <w:tc>
          <w:tcPr>
            <w:tcW w:w="900" w:type="dxa"/>
            <w:tcBorders/>
          </w:tcPr>
          <w:p>
            <w:pPr>
              <w:pStyle w:val="normal1"/>
              <w:spacing w:lineRule="auto" w:line="480" w:before="0" w:after="0"/>
              <w:rPr>
                <w:sz w:val="18"/>
                <w:szCs w:val="18"/>
              </w:rPr>
            </w:pPr>
            <w:r>
              <w:rPr>
                <w:i w:val="false"/>
                <w:iCs w:val="false"/>
                <w:sz w:val="18"/>
                <w:szCs w:val="18"/>
              </w:rPr>
              <w:t>5,060</w:t>
            </w:r>
          </w:p>
        </w:tc>
        <w:tc>
          <w:tcPr>
            <w:tcW w:w="930" w:type="dxa"/>
            <w:tcBorders/>
          </w:tcPr>
          <w:p>
            <w:pPr>
              <w:pStyle w:val="normal1"/>
              <w:spacing w:lineRule="auto" w:line="480" w:before="0" w:after="0"/>
              <w:rPr>
                <w:sz w:val="18"/>
                <w:szCs w:val="18"/>
              </w:rPr>
            </w:pPr>
            <w:r>
              <w:rPr>
                <w:i w:val="false"/>
                <w:iCs w:val="false"/>
                <w:sz w:val="18"/>
                <w:szCs w:val="18"/>
              </w:rPr>
              <w:t>10</w:t>
            </w:r>
          </w:p>
        </w:tc>
        <w:tc>
          <w:tcPr>
            <w:tcW w:w="599" w:type="dxa"/>
            <w:tcBorders/>
          </w:tcPr>
          <w:p>
            <w:pPr>
              <w:pStyle w:val="normal1"/>
              <w:spacing w:lineRule="auto" w:line="480" w:before="0" w:after="0"/>
              <w:rPr>
                <w:sz w:val="18"/>
                <w:szCs w:val="18"/>
              </w:rPr>
            </w:pPr>
            <w:r>
              <w:rPr>
                <w:i w:val="false"/>
                <w:iCs w:val="false"/>
                <w:sz w:val="18"/>
                <w:szCs w:val="18"/>
              </w:rPr>
              <w:t>12</w:t>
            </w:r>
          </w:p>
        </w:tc>
        <w:tc>
          <w:tcPr>
            <w:tcW w:w="1356" w:type="dxa"/>
            <w:tcBorders/>
          </w:tcPr>
          <w:p>
            <w:pPr>
              <w:pStyle w:val="normal1"/>
              <w:spacing w:lineRule="auto" w:line="480" w:before="0" w:after="0"/>
              <w:rPr>
                <w:sz w:val="18"/>
                <w:szCs w:val="18"/>
              </w:rPr>
            </w:pPr>
            <w:r>
              <w:rPr>
                <w:i w:val="false"/>
                <w:iCs w:val="false"/>
                <w:sz w:val="18"/>
                <w:szCs w:val="18"/>
              </w:rPr>
              <w:t>4</w:t>
            </w:r>
          </w:p>
        </w:tc>
        <w:tc>
          <w:tcPr>
            <w:tcW w:w="1000" w:type="dxa"/>
            <w:tcBorders/>
          </w:tcPr>
          <w:p>
            <w:pPr>
              <w:pStyle w:val="normal1"/>
              <w:spacing w:lineRule="auto" w:line="480" w:before="0" w:after="0"/>
              <w:rPr>
                <w:sz w:val="18"/>
                <w:szCs w:val="18"/>
              </w:rPr>
            </w:pPr>
            <w:r>
              <w:rPr>
                <w:i w:val="false"/>
                <w:iCs w:val="false"/>
                <w:sz w:val="18"/>
                <w:szCs w:val="18"/>
              </w:rPr>
              <w:t>12</w:t>
            </w:r>
          </w:p>
        </w:tc>
        <w:tc>
          <w:tcPr>
            <w:tcW w:w="1184" w:type="dxa"/>
            <w:tcBorders/>
          </w:tcPr>
          <w:p>
            <w:pPr>
              <w:pStyle w:val="normal1"/>
              <w:spacing w:lineRule="auto" w:line="480" w:before="0" w:after="0"/>
              <w:rPr>
                <w:sz w:val="18"/>
                <w:szCs w:val="18"/>
              </w:rPr>
            </w:pPr>
            <w:r>
              <w:rPr>
                <w:i w:val="false"/>
                <w:iCs w:val="false"/>
                <w:sz w:val="18"/>
                <w:szCs w:val="18"/>
              </w:rPr>
              <w:t>0.20</w:t>
            </w:r>
          </w:p>
        </w:tc>
      </w:tr>
      <w:tr>
        <w:trPr>
          <w:cantSplit w:val="true"/>
        </w:trPr>
        <w:tc>
          <w:tcPr>
            <w:tcW w:w="1214" w:type="dxa"/>
            <w:tcBorders>
              <w:bottom w:val="single" w:sz="18" w:space="0" w:color="000000"/>
            </w:tcBorders>
          </w:tcPr>
          <w:p>
            <w:pPr>
              <w:pStyle w:val="normal1"/>
              <w:spacing w:lineRule="auto" w:line="480" w:before="0" w:after="0"/>
              <w:rPr>
                <w:sz w:val="18"/>
                <w:szCs w:val="18"/>
              </w:rPr>
            </w:pPr>
            <w:r>
              <w:rPr>
                <w:i w:val="false"/>
                <w:iCs w:val="false"/>
                <w:sz w:val="18"/>
                <w:szCs w:val="18"/>
              </w:rPr>
              <w:t>Total</w:t>
            </w:r>
          </w:p>
        </w:tc>
        <w:tc>
          <w:tcPr>
            <w:tcW w:w="1171" w:type="dxa"/>
            <w:tcBorders>
              <w:bottom w:val="single" w:sz="18" w:space="0" w:color="000000"/>
            </w:tcBorders>
          </w:tcPr>
          <w:p>
            <w:pPr>
              <w:pStyle w:val="normal1"/>
              <w:spacing w:lineRule="auto" w:line="480" w:before="0" w:after="0"/>
              <w:rPr>
                <w:sz w:val="18"/>
                <w:szCs w:val="18"/>
              </w:rPr>
            </w:pPr>
            <w:r>
              <w:rPr>
                <w:i w:val="false"/>
                <w:iCs w:val="false"/>
                <w:sz w:val="18"/>
                <w:szCs w:val="18"/>
              </w:rPr>
              <w:t>60</w:t>
            </w:r>
          </w:p>
        </w:tc>
        <w:tc>
          <w:tcPr>
            <w:tcW w:w="900" w:type="dxa"/>
            <w:tcBorders>
              <w:bottom w:val="single" w:sz="18" w:space="0" w:color="000000"/>
            </w:tcBorders>
          </w:tcPr>
          <w:p>
            <w:pPr>
              <w:pStyle w:val="normal1"/>
              <w:spacing w:lineRule="auto" w:line="480" w:before="0" w:after="0"/>
              <w:rPr>
                <w:sz w:val="18"/>
                <w:szCs w:val="18"/>
              </w:rPr>
            </w:pPr>
            <w:r>
              <w:rPr>
                <w:i w:val="false"/>
                <w:iCs w:val="false"/>
                <w:sz w:val="18"/>
                <w:szCs w:val="18"/>
              </w:rPr>
              <w:t>13,869</w:t>
            </w:r>
          </w:p>
        </w:tc>
        <w:tc>
          <w:tcPr>
            <w:tcW w:w="930" w:type="dxa"/>
            <w:tcBorders>
              <w:bottom w:val="single" w:sz="18" w:space="0" w:color="000000"/>
            </w:tcBorders>
          </w:tcPr>
          <w:p>
            <w:pPr>
              <w:pStyle w:val="normal1"/>
              <w:spacing w:lineRule="auto" w:line="480" w:before="0" w:after="0"/>
              <w:rPr>
                <w:sz w:val="18"/>
                <w:szCs w:val="18"/>
              </w:rPr>
            </w:pPr>
            <w:r>
              <w:rPr>
                <w:i w:val="false"/>
                <w:iCs w:val="false"/>
                <w:sz w:val="18"/>
                <w:szCs w:val="18"/>
              </w:rPr>
              <w:t>65</w:t>
            </w:r>
          </w:p>
        </w:tc>
        <w:tc>
          <w:tcPr>
            <w:tcW w:w="599" w:type="dxa"/>
            <w:tcBorders>
              <w:bottom w:val="single" w:sz="18" w:space="0" w:color="000000"/>
            </w:tcBorders>
          </w:tcPr>
          <w:p>
            <w:pPr>
              <w:pStyle w:val="normal1"/>
              <w:spacing w:lineRule="auto" w:line="480" w:before="0" w:after="0"/>
              <w:rPr>
                <w:sz w:val="18"/>
                <w:szCs w:val="18"/>
              </w:rPr>
            </w:pPr>
            <w:r>
              <w:rPr>
                <w:i w:val="false"/>
                <w:iCs w:val="false"/>
                <w:sz w:val="18"/>
                <w:szCs w:val="18"/>
              </w:rPr>
              <w:t>58</w:t>
            </w:r>
          </w:p>
        </w:tc>
        <w:tc>
          <w:tcPr>
            <w:tcW w:w="1356" w:type="dxa"/>
            <w:tcBorders>
              <w:bottom w:val="single" w:sz="18" w:space="0" w:color="000000"/>
            </w:tcBorders>
          </w:tcPr>
          <w:p>
            <w:pPr>
              <w:pStyle w:val="normal1"/>
              <w:spacing w:lineRule="auto" w:line="480" w:before="0" w:after="0"/>
              <w:rPr>
                <w:sz w:val="18"/>
                <w:szCs w:val="18"/>
              </w:rPr>
            </w:pPr>
            <w:r>
              <w:rPr>
                <w:i w:val="false"/>
                <w:iCs w:val="false"/>
                <w:sz w:val="18"/>
                <w:szCs w:val="18"/>
              </w:rPr>
              <w:t>14</w:t>
            </w:r>
          </w:p>
        </w:tc>
        <w:tc>
          <w:tcPr>
            <w:tcW w:w="1000" w:type="dxa"/>
            <w:tcBorders>
              <w:bottom w:val="single" w:sz="18" w:space="0" w:color="000000"/>
            </w:tcBorders>
          </w:tcPr>
          <w:p>
            <w:pPr>
              <w:pStyle w:val="normal1"/>
              <w:spacing w:lineRule="auto" w:line="480" w:before="0" w:after="0"/>
              <w:rPr>
                <w:sz w:val="18"/>
                <w:szCs w:val="18"/>
              </w:rPr>
            </w:pPr>
            <w:r>
              <w:rPr>
                <w:i w:val="false"/>
                <w:iCs w:val="false"/>
                <w:sz w:val="18"/>
                <w:szCs w:val="18"/>
              </w:rPr>
              <w:t>25</w:t>
            </w:r>
          </w:p>
        </w:tc>
        <w:tc>
          <w:tcPr>
            <w:tcW w:w="1184" w:type="dxa"/>
            <w:tcBorders>
              <w:bottom w:val="single" w:sz="18" w:space="0" w:color="000000"/>
            </w:tcBorders>
          </w:tcPr>
          <w:p>
            <w:pPr>
              <w:pStyle w:val="normal1"/>
              <w:spacing w:lineRule="auto" w:line="480" w:before="0" w:after="0"/>
              <w:rPr>
                <w:sz w:val="18"/>
                <w:szCs w:val="18"/>
              </w:rPr>
            </w:pPr>
            <w:r>
              <w:rPr>
                <w:i w:val="false"/>
                <w:iCs w:val="false"/>
                <w:sz w:val="18"/>
                <w:szCs w:val="18"/>
              </w:rPr>
              <w:t>0.47</w:t>
            </w:r>
          </w:p>
        </w:tc>
      </w:tr>
    </w:tbl>
    <w:p>
      <w:pPr>
        <w:pStyle w:val="normal1"/>
        <w:spacing w:lineRule="auto" w:line="480" w:before="240" w:after="0"/>
        <w:ind w:firstLine="720"/>
        <w:jc w:val="both"/>
        <w:rPr/>
      </w:pPr>
      <w:r>
        <w:rPr>
          <w:sz w:val="22"/>
          <w:szCs w:val="22"/>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w:t>
      </w:r>
      <w:r>
        <w:rPr/>
        <w:t xml:space="preserve"> both </w:t>
      </w:r>
      <w:r>
        <w:rPr>
          <w:sz w:val="22"/>
          <w:szCs w:val="22"/>
        </w:rPr>
        <w:t>Agriculture’s and Biology</w:t>
      </w:r>
      <w:r>
        <w:rPr/>
        <w:t xml:space="preserve">’s </w:t>
      </w:r>
      <w:r>
        <w:rPr>
          <w:sz w:val="22"/>
          <w:szCs w:val="22"/>
        </w:rPr>
        <w:t>rate.</w:t>
      </w:r>
    </w:p>
    <w:p>
      <w:pPr>
        <w:pStyle w:val="normal1"/>
        <w:spacing w:lineRule="auto" w:line="480" w:before="0" w:after="0"/>
        <w:ind w:firstLine="720"/>
        <w:jc w:val="both"/>
        <w:rPr/>
      </w:pPr>
      <w:r>
        <w:rPr/>
        <w:t>The number of zero-hedge abstracts makes the same contrast clearer</w:t>
      </w:r>
      <w:r>
        <w:rPr>
          <w:sz w:val="22"/>
          <w:szCs w:val="22"/>
        </w:rPr>
        <w: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A chi-square test of independence on the zero-hedge distribution across disciplines (discipline × zero/nonzero) was not significant (χ² = 5.07, df = 2, p = 0.079), so the zero-hedge gap is suggestive only.</w:t>
      </w:r>
    </w:p>
    <w:p>
      <w:pPr>
        <w:pStyle w:val="normal1"/>
        <w:spacing w:lineRule="auto" w:line="480" w:before="0" w:after="0"/>
        <w:ind w:firstLine="720"/>
        <w:jc w:val="both"/>
        <w:rPr/>
      </w:pPr>
      <w:r>
        <w:rPr>
          <w:sz w:val="22"/>
          <w:szCs w:val="22"/>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=.024. Post hoc Mann-Whitney tests on the same rates give Veterinary Medicine versus Biology p =.011, Veterinary Medicine versus Agriculture p =.034, and Agriculture versus Biology p =.72. With a Bonferroni correction for three pairwise tests (α =.017), only the Biology-Veterinary Medicine contrast remains significant. Agriculture and Biology are statistically indistinguishable on this measure. Veterinary Medicine does not differ from Agriculture at the corrected threshold. Abstracts within a program may share advisers, so observations are not fully independent, and within-discipline spread remains larger than the gaps between means. Removing all 19 instances of “potential” leaves 46 hedges. The Kruskal-Wallis contrast remains in the same direction, and Veterinary Medicine’s zero-hedge share rises further. Low density in undergraduate and L2 academic writing is widely reported and is often read as limited stance control rather than as deliberate categorical style (Hyland &amp; Milton, 1997; Qiu et al., 2024). In this PSAU sample, the pairwise contrast that survives correction is Biology versus Veterinary Medicine. It is a local English-language pattern in ratified abstracts. Supervised abstracts may absorb program tolerance for soft claims as much as individual rhetorical choice.</w:t>
      </w:r>
    </w:p>
    <w:p>
      <w:pPr>
        <w:pStyle w:val="normal1"/>
        <w:spacing w:lineRule="auto" w:line="480" w:before="0" w:after="0"/>
        <w:ind w:firstLine="720"/>
        <w:jc w:val="both"/>
        <w:rPr/>
      </w:pPr>
      <w:r>
        <w:rPr>
          <w:sz w:val="22"/>
          <w:szCs w:val="22"/>
        </w:rPr>
        <w:t>These frequency patterns partially align with, and partially diverge from, prior work. Afshar et al. (2014) found agriculture using the fewest hedges among expert research articles. Here Agriculture is level with Biology and ranks first only because of Acs2. Without that abstract it falls below Biology, which fits Afshar et al.’s direction better. Expert research articles and undergraduate abstracts are different genres, so the comparison is loose.</w:t>
      </w:r>
    </w:p>
    <w:p>
      <w:pPr>
        <w:pStyle w:val="normal1"/>
        <w:spacing w:lineRule="auto" w:line="480" w:before="0" w:after="0"/>
        <w:ind w:firstLine="720"/>
        <w:jc w:val="both"/>
        <w:rPr/>
      </w:pPr>
      <w:r>
        <w:rPr>
          <w:sz w:val="22"/>
          <w:szCs w:val="22"/>
        </w:rPr>
        <w:t>Veterinary Medicine's low density is more difficult to interpret. Many VM abstracts in this corpus reported clinical findings from animal studies (e.g., drug efficacy trials, disease detection, hematological profiling). Part IV tests the obvious explanation, that VM abstracts mostly report binary results, and finds it insufficient: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p>
    <w:p>
      <w:pPr>
        <w:pStyle w:val="normal1"/>
        <w:spacing w:lineRule="auto" w:line="480" w:before="0" w:after="0"/>
        <w:ind w:firstLine="720"/>
        <w:jc w:val="both"/>
        <w:rPr/>
      </w:pPr>
      <w:r>
        <w:rPr>
          <w:sz w:val="22"/>
          <w:szCs w:val="22"/>
        </w:rPr>
        <w:t>The false positive distribution also varies by discipline. Biology produced 32 false positives, far more than Agriculture (14) or Veterinary Medicine (12). This is partly because Biology abstracts contain more instances of “</w:t>
      </w:r>
      <w:r>
        <w:rPr>
          <w:i/>
          <w:iCs/>
          <w:sz w:val="22"/>
          <w:szCs w:val="22"/>
        </w:rPr>
        <w:t>potential</w:t>
      </w:r>
      <w:r>
        <w:rPr>
          <w:sz w:val="22"/>
          <w:szCs w:val="22"/>
        </w:rPr>
        <w:t>” in aim statements and “</w:t>
      </w:r>
      <w:r>
        <w:rPr>
          <w:i/>
          <w:iCs/>
          <w:sz w:val="22"/>
          <w:szCs w:val="22"/>
        </w:rPr>
        <w:t>indicated by</w:t>
      </w:r>
      <w:r>
        <w:rPr>
          <w:sz w:val="22"/>
          <w:szCs w:val="22"/>
        </w:rPr>
        <w:t>” evidential pointers, constructions that look like hedges but do not express uncertainty about a claim. The higher count reflects more hedge-like vocabulary in non-hedging functions, not more hedging.</w:t>
      </w:r>
    </w:p>
    <w:p>
      <w:pPr>
        <w:pStyle w:val="normal1"/>
        <w:keepNext w:val="true"/>
        <w:spacing w:lineRule="auto" w:line="480" w:before="240" w:after="120"/>
        <w:ind w:hanging="0"/>
        <w:rPr/>
      </w:pPr>
      <w:r>
        <w:rPr>
          <w:b/>
          <w:bCs/>
          <w:sz w:val="24"/>
          <w:szCs w:val="24"/>
        </w:rPr>
        <w:t>Part III: What Hedging Does When It Appears</w:t>
      </w:r>
    </w:p>
    <w:p>
      <w:pPr>
        <w:pStyle w:val="normal1"/>
        <w:spacing w:lineRule="auto" w:line="480" w:before="0" w:after="0"/>
        <w:ind w:firstLine="720"/>
        <w:jc w:val="both"/>
        <w:rPr/>
      </w:pPr>
      <w:r>
        <w:rPr>
          <w:sz w:val="22"/>
          <w:szCs w:val="22"/>
        </w:rPr>
        <w:t>Table 6 summarizes Step 2 outcomes for the coding pool. Of the retained hedges, all 65 were coded Epistemic Caution (EC). Politeness/Deference is null (P = 0). False positives totaled 58 (FP-Gen 33, FP-Rec 15, FP-Cap 8, FP-Proc 2). Those 58 failed the claim condition or both removal checks (reason codes: FP-Gen, FP-Rec, FP-Cap, FP-Proc). The direct comparison is therefore EC = 65, P = 0, FP = 58.</w:t>
      </w:r>
    </w:p>
    <w:p>
      <w:pPr>
        <w:pStyle w:val="normal1"/>
        <w:keepNext w:val="true"/>
        <w:spacing w:lineRule="auto" w:line="480" w:before="720" w:after="0"/>
        <w:jc w:val="center"/>
        <w:rPr/>
      </w:pPr>
      <w:r>
        <w:rPr>
          <w:b/>
          <w:bCs/>
          <w:sz w:val="22"/>
          <w:szCs w:val="22"/>
        </w:rPr>
        <w:t>Table 6</w:t>
      </w:r>
    </w:p>
    <w:p>
      <w:pPr>
        <w:pStyle w:val="normal1"/>
        <w:keepNext w:val="true"/>
        <w:spacing w:lineRule="auto" w:line="480" w:before="0" w:after="60"/>
        <w:jc w:val="center"/>
        <w:rPr/>
      </w:pPr>
      <w:r>
        <w:rPr>
          <w:sz w:val="22"/>
          <w:szCs w:val="22"/>
        </w:rPr>
        <w:t>Step 2 Outcomes: EC, P, and FP (Candidate Pool)</w:t>
      </w:r>
    </w:p>
    <w:tbl>
      <w:tblPr>
        <w:tblStyle w:val="Table6"/>
        <w:tblW w:w="8307" w:type="dxa"/>
        <w:jc w:val="left"/>
        <w:tblInd w:w="-115" w:type="dxa"/>
        <w:tblLayout w:type="fixed"/>
        <w:tblCellMar>
          <w:top w:w="0" w:type="dxa"/>
          <w:left w:w="108" w:type="dxa"/>
          <w:bottom w:w="0" w:type="dxa"/>
          <w:right w:w="108" w:type="dxa"/>
        </w:tblCellMar>
        <w:tblLook w:val="0400"/>
      </w:tblPr>
      <w:tblGrid>
        <w:gridCol w:w="2769"/>
        <w:gridCol w:w="2769"/>
        <w:gridCol w:w="2769"/>
      </w:tblGrid>
      <w:tr>
        <w:trPr>
          <w:tblHeader w:val="true"/>
          <w:cantSplit w:val="true"/>
        </w:trPr>
        <w:tc>
          <w:tcPr>
            <w:tcW w:w="2769"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Step 2 outcome</w:t>
            </w:r>
          </w:p>
        </w:tc>
        <w:tc>
          <w:tcPr>
            <w:tcW w:w="2769"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Count</w:t>
            </w:r>
          </w:p>
        </w:tc>
        <w:tc>
          <w:tcPr>
            <w:tcW w:w="2769" w:type="dxa"/>
            <w:tcBorders>
              <w:top w:val="single" w:sz="18" w:space="0" w:color="000000"/>
              <w:bottom w:val="single" w:sz="4" w:space="0" w:color="000000"/>
            </w:tcBorders>
          </w:tcPr>
          <w:p>
            <w:pPr>
              <w:pStyle w:val="normal1"/>
              <w:spacing w:lineRule="auto" w:line="480" w:before="0" w:after="0"/>
              <w:rPr>
                <w:sz w:val="18"/>
                <w:szCs w:val="18"/>
              </w:rPr>
            </w:pPr>
            <w:r>
              <w:rPr>
                <w:b/>
                <w:bCs/>
                <w:i w:val="false"/>
                <w:iCs w:val="false"/>
                <w:sz w:val="18"/>
                <w:szCs w:val="18"/>
              </w:rPr>
              <w:t>Note</w:t>
            </w:r>
          </w:p>
        </w:tc>
      </w:tr>
      <w:tr>
        <w:trPr>
          <w:cantSplit w:val="true"/>
        </w:trPr>
        <w:tc>
          <w:tcPr>
            <w:tcW w:w="2769" w:type="dxa"/>
            <w:tcBorders/>
          </w:tcPr>
          <w:p>
            <w:pPr>
              <w:pStyle w:val="normal1"/>
              <w:spacing w:lineRule="auto" w:line="480" w:before="0" w:after="0"/>
              <w:rPr>
                <w:sz w:val="18"/>
                <w:szCs w:val="18"/>
              </w:rPr>
            </w:pPr>
            <w:r>
              <w:rPr>
                <w:sz w:val="18"/>
                <w:szCs w:val="18"/>
              </w:rPr>
              <w:t>Epistemic Caution (EC) , retained</w:t>
            </w:r>
          </w:p>
        </w:tc>
        <w:tc>
          <w:tcPr>
            <w:tcW w:w="2769" w:type="dxa"/>
            <w:tcBorders/>
          </w:tcPr>
          <w:p>
            <w:pPr>
              <w:pStyle w:val="normal1"/>
              <w:spacing w:lineRule="auto" w:line="480" w:before="0" w:after="0"/>
              <w:rPr>
                <w:sz w:val="18"/>
                <w:szCs w:val="18"/>
              </w:rPr>
            </w:pPr>
            <w:r>
              <w:rPr>
                <w:i w:val="false"/>
                <w:iCs w:val="false"/>
                <w:sz w:val="18"/>
                <w:szCs w:val="18"/>
              </w:rPr>
              <w:t>65</w:t>
            </w:r>
          </w:p>
        </w:tc>
        <w:tc>
          <w:tcPr>
            <w:tcW w:w="2769" w:type="dxa"/>
            <w:tcBorders/>
          </w:tcPr>
          <w:p>
            <w:pPr>
              <w:pStyle w:val="normal1"/>
              <w:spacing w:lineRule="auto" w:line="480" w:before="0" w:after="0"/>
              <w:rPr>
                <w:sz w:val="18"/>
                <w:szCs w:val="18"/>
              </w:rPr>
            </w:pPr>
            <w:r>
              <w:rPr>
                <w:i w:val="false"/>
                <w:iCs w:val="false"/>
                <w:sz w:val="18"/>
                <w:szCs w:val="18"/>
              </w:rPr>
              <w:t>Passed Working Test</w:t>
            </w:r>
          </w:p>
        </w:tc>
      </w:tr>
      <w:tr>
        <w:trPr>
          <w:cantSplit w:val="true"/>
        </w:trPr>
        <w:tc>
          <w:tcPr>
            <w:tcW w:w="2769" w:type="dxa"/>
            <w:tcBorders/>
          </w:tcPr>
          <w:p>
            <w:pPr>
              <w:pStyle w:val="normal1"/>
              <w:spacing w:lineRule="auto" w:line="480" w:before="0" w:after="0"/>
              <w:rPr>
                <w:sz w:val="18"/>
                <w:szCs w:val="18"/>
              </w:rPr>
            </w:pPr>
            <w:r>
              <w:rPr>
                <w:sz w:val="18"/>
                <w:szCs w:val="18"/>
              </w:rPr>
              <w:t>Politeness/Deference (P) , retained</w:t>
            </w:r>
          </w:p>
        </w:tc>
        <w:tc>
          <w:tcPr>
            <w:tcW w:w="2769" w:type="dxa"/>
            <w:tcBorders/>
          </w:tcPr>
          <w:p>
            <w:pPr>
              <w:pStyle w:val="normal1"/>
              <w:spacing w:lineRule="auto" w:line="480" w:before="0" w:after="0"/>
              <w:rPr>
                <w:sz w:val="18"/>
                <w:szCs w:val="18"/>
              </w:rPr>
            </w:pPr>
            <w:r>
              <w:rPr>
                <w:i w:val="false"/>
                <w:iCs w:val="false"/>
                <w:sz w:val="18"/>
                <w:szCs w:val="18"/>
              </w:rPr>
              <w:t>0</w:t>
            </w:r>
          </w:p>
        </w:tc>
        <w:tc>
          <w:tcPr>
            <w:tcW w:w="2769" w:type="dxa"/>
            <w:tcBorders/>
          </w:tcPr>
          <w:p>
            <w:pPr>
              <w:pStyle w:val="normal1"/>
              <w:spacing w:lineRule="auto" w:line="480" w:before="0" w:after="0"/>
              <w:rPr>
                <w:sz w:val="18"/>
                <w:szCs w:val="18"/>
              </w:rPr>
            </w:pPr>
            <w:r>
              <w:rPr>
                <w:i w:val="false"/>
                <w:iCs w:val="false"/>
                <w:sz w:val="18"/>
                <w:szCs w:val="18"/>
              </w:rPr>
              <w:t>Null in this sample</w:t>
            </w:r>
          </w:p>
        </w:tc>
      </w:tr>
      <w:tr>
        <w:trPr>
          <w:cantSplit w:val="true"/>
        </w:trPr>
        <w:tc>
          <w:tcPr>
            <w:tcW w:w="2769" w:type="dxa"/>
            <w:tcBorders/>
          </w:tcPr>
          <w:p>
            <w:pPr>
              <w:pStyle w:val="normal1"/>
              <w:spacing w:lineRule="auto" w:line="480" w:before="0" w:after="0"/>
              <w:rPr>
                <w:sz w:val="18"/>
                <w:szCs w:val="18"/>
              </w:rPr>
            </w:pPr>
            <w:r>
              <w:rPr>
                <w:i w:val="false"/>
                <w:iCs w:val="false"/>
                <w:sz w:val="18"/>
                <w:szCs w:val="18"/>
              </w:rPr>
              <w:t>False positive (FP)</w:t>
            </w:r>
          </w:p>
        </w:tc>
        <w:tc>
          <w:tcPr>
            <w:tcW w:w="2769" w:type="dxa"/>
            <w:tcBorders/>
          </w:tcPr>
          <w:p>
            <w:pPr>
              <w:pStyle w:val="normal1"/>
              <w:spacing w:lineRule="auto" w:line="480" w:before="0" w:after="0"/>
              <w:rPr>
                <w:sz w:val="18"/>
                <w:szCs w:val="18"/>
              </w:rPr>
            </w:pPr>
            <w:r>
              <w:rPr>
                <w:i w:val="false"/>
                <w:iCs w:val="false"/>
                <w:sz w:val="18"/>
                <w:szCs w:val="18"/>
              </w:rPr>
              <w:t>58</w:t>
            </w:r>
          </w:p>
        </w:tc>
        <w:tc>
          <w:tcPr>
            <w:tcW w:w="2769" w:type="dxa"/>
            <w:tcBorders/>
          </w:tcPr>
          <w:p>
            <w:pPr>
              <w:pStyle w:val="normal1"/>
              <w:spacing w:lineRule="auto" w:line="480" w:before="0" w:after="0"/>
              <w:rPr>
                <w:sz w:val="18"/>
                <w:szCs w:val="18"/>
              </w:rPr>
            </w:pPr>
            <w:r>
              <w:rPr>
                <w:sz w:val="18"/>
                <w:szCs w:val="18"/>
              </w:rPr>
              <w:t>Not retained, not a function</w:t>
            </w:r>
          </w:p>
        </w:tc>
      </w:tr>
      <w:tr>
        <w:trPr>
          <w:cantSplit w:val="true"/>
        </w:trPr>
        <w:tc>
          <w:tcPr>
            <w:tcW w:w="2769" w:type="dxa"/>
            <w:tcBorders>
              <w:bottom w:val="single" w:sz="18" w:space="0" w:color="000000"/>
            </w:tcBorders>
          </w:tcPr>
          <w:p>
            <w:pPr>
              <w:pStyle w:val="normal1"/>
              <w:spacing w:lineRule="auto" w:line="480" w:before="0" w:after="0"/>
              <w:rPr>
                <w:sz w:val="18"/>
                <w:szCs w:val="18"/>
              </w:rPr>
            </w:pPr>
            <w:r>
              <w:rPr>
                <w:i w:val="false"/>
                <w:iCs w:val="false"/>
                <w:sz w:val="18"/>
                <w:szCs w:val="18"/>
              </w:rPr>
              <w:t>Total candidate decisions</w:t>
            </w:r>
          </w:p>
        </w:tc>
        <w:tc>
          <w:tcPr>
            <w:tcW w:w="2769" w:type="dxa"/>
            <w:tcBorders>
              <w:bottom w:val="single" w:sz="18" w:space="0" w:color="000000"/>
            </w:tcBorders>
          </w:tcPr>
          <w:p>
            <w:pPr>
              <w:pStyle w:val="normal1"/>
              <w:spacing w:lineRule="auto" w:line="480" w:before="0" w:after="0"/>
              <w:rPr>
                <w:sz w:val="18"/>
                <w:szCs w:val="18"/>
              </w:rPr>
            </w:pPr>
            <w:r>
              <w:rPr>
                <w:i w:val="false"/>
                <w:iCs w:val="false"/>
                <w:sz w:val="18"/>
                <w:szCs w:val="18"/>
              </w:rPr>
              <w:t>123</w:t>
            </w:r>
          </w:p>
        </w:tc>
        <w:tc>
          <w:tcPr>
            <w:tcW w:w="2769" w:type="dxa"/>
            <w:tcBorders>
              <w:bottom w:val="single" w:sz="18" w:space="0" w:color="000000"/>
            </w:tcBorders>
          </w:tcPr>
          <w:p>
            <w:pPr>
              <w:pStyle w:val="normal1"/>
              <w:spacing w:lineRule="auto" w:line="480" w:before="0" w:after="0"/>
              <w:rPr>
                <w:sz w:val="18"/>
                <w:szCs w:val="18"/>
              </w:rPr>
            </w:pPr>
            <w:r>
              <w:rPr>
                <w:i w:val="false"/>
                <w:iCs w:val="false"/>
                <w:sz w:val="18"/>
                <w:szCs w:val="18"/>
              </w:rPr>
              <w:t>Logged candidates only (65 retained + 58 FP), not every word in the corpus</w:t>
            </w:r>
          </w:p>
        </w:tc>
      </w:tr>
    </w:tbl>
    <w:p>
      <w:pPr>
        <w:pStyle w:val="normal1"/>
        <w:spacing w:lineRule="auto" w:line="480" w:before="240" w:after="0"/>
        <w:ind w:firstLine="720"/>
        <w:jc w:val="both"/>
        <w:rPr/>
      </w:pPr>
      <w:r>
        <w:rPr>
          <w:sz w:val="22"/>
          <w:szCs w:val="22"/>
        </w:rPr>
        <w:t xml:space="preserve">No retained hedge was independently labeled Politeness. Under the Step 2 rule (claim condition, then Working Test and Reader Test), only tokens attached to claims that pass at least one removal check enter the retained hedge set. Candidates that fail the claim condition or both checks, including recommendations and other non-claims, are logged as false positives and do not count in the 65. P = 0 is the distribution of retained functions under that scheme: every claim-attached candidate was tested, and none passed as P. Softened recommendations, where interpersonal softening is most likely, were logged FP-Rec (15 tokens) and never reached the Reader Test, so a scheme that counted them could return a different P total. The result answers the function question as a split within the definition adopted here (stance change toward a proposition), not as evidence about politeness in abstracts generally. An all-EC profile fits how scientific English uses hedges on knowledge claims. Hyland (1996, 1998) treats scientific hedging as a resource for precision, caution, and negotiated commitment to propositions. Salager-Meyer (1994) frames the same work as claim-responsibility management. Hedges distribute responsibility for the accuracy or reach of a statement among the writer, the data, and external conditions.</w:t>
      </w:r>
    </w:p>
    <w:p>
      <w:pPr>
        <w:pStyle w:val="normal1"/>
        <w:spacing w:lineRule="auto" w:line="480" w:before="0" w:after="0"/>
        <w:ind w:firstLine="720"/>
        <w:jc w:val="both"/>
        <w:rPr/>
      </w:pPr>
      <w:r>
        <w:rPr>
          <w:sz w:val="22"/>
          <w:szCs w:val="22"/>
        </w:rPr>
        <w:t xml:space="preserve">Gillaerts and Van de Velde (2010) show that research-article abstracts are not miniature full articles. Interactional markers in abstracts have their own make-up, and the degree of interpersonality can be more limited than in the longer text. In this PSAU sample, most retained hedges sit in implication and conclusion sentences rather than in bare results lines. Forms such as </w:t>
      </w:r>
      <w:r>
        <w:rPr>
          <w:i/>
          <w:iCs/>
          <w:sz w:val="22"/>
          <w:szCs w:val="22"/>
        </w:rPr>
        <w:t>potential</w:t>
      </w:r>
      <w:r>
        <w:rPr>
          <w:sz w:val="22"/>
          <w:szCs w:val="22"/>
        </w:rPr>
        <w:t xml:space="preserve"> and </w:t>
      </w:r>
      <w:r>
        <w:rPr>
          <w:i/>
          <w:iCs/>
          <w:sz w:val="22"/>
          <w:szCs w:val="22"/>
        </w:rPr>
        <w:t>suggest/suggests/suggesting</w:t>
      </w:r>
      <w:r>
        <w:rPr>
          <w:sz w:val="22"/>
          <w:szCs w:val="22"/>
        </w:rPr>
        <w:t xml:space="preserve"> </w:t>
      </w:r>
      <w:r>
        <w:rPr/>
        <w:t>qualified</w:t>
      </w:r>
      <w:r>
        <w:rPr>
          <w:sz w:val="22"/>
          <w:szCs w:val="22"/>
        </w:rPr>
        <w:t xml:space="preserve"> applications or interpretations. Results sentences in the same abstracts often use factive verbs (</w:t>
      </w:r>
      <w:r>
        <w:rPr>
          <w:i/>
          <w:iCs/>
          <w:sz w:val="22"/>
          <w:szCs w:val="22"/>
        </w:rPr>
        <w:t>showed, revealed, demonstrated</w:t>
      </w:r>
      <w:r>
        <w:rPr>
          <w:sz w:val="22"/>
          <w:szCs w:val="22"/>
        </w:rPr>
        <w:t>) without qualification. No move-structured count was run, so this is a qualitative reading, but it points to abstracts that report findings directly and hedge mainly where findings turn into meaning. Novice and L2 academic writing further situates the result. Student writers often work with a narrower stance repertoire and lean on classroom habits more than on genre-sensitive interpersonal design (Saengsuwan &amp; Suwannatrai, 2026). In agricultural-science writing, L2 students have been found to use fewer hedges than expert writers in the same field (Qiu et al., 2024). The present corpus shows a related English-language pattern. When hedges were retained, they did epistemic work with a small lexical set. Modal verbs (21 instances, all EC) almost exclusively marked possibility about results or implications, while Lexical hedges (41 instances, all EC) qualified the strength of findings or implications</w:t>
      </w:r>
      <w:r>
        <w:rPr/>
        <w:t>.</w:t>
      </w:r>
    </w:p>
    <w:p>
      <w:pPr>
        <w:pStyle w:val="normal1"/>
        <w:spacing w:lineRule="auto" w:line="480" w:before="0" w:after="0"/>
        <w:ind w:firstLine="720"/>
        <w:jc w:val="both"/>
        <w:rPr/>
      </w:pPr>
      <w:r>
        <w:rPr/>
        <w:t>Linguistically, the profile shows English in these abstracts adjusting the epistemic weight of findings and implications. It does not show retained hedges doing interpersonal softening of those claims. As an account of ratified undergraduate abstracts, the result is a functionally narrow stance repertoire centered on the proposition.</w:t>
      </w:r>
    </w:p>
    <w:p>
      <w:pPr>
        <w:pStyle w:val="normal1"/>
        <w:keepNext w:val="true"/>
        <w:spacing w:lineRule="auto" w:line="480" w:before="240" w:after="120"/>
        <w:ind w:hanging="0"/>
        <w:rPr/>
      </w:pPr>
      <w:r>
        <w:rPr>
          <w:b/>
          <w:bCs/>
          <w:sz w:val="24"/>
          <w:szCs w:val="24"/>
        </w:rPr>
        <w:t>Part IV: Uneven Caution across Programs</w:t>
      </w:r>
    </w:p>
    <w:p>
      <w:pPr>
        <w:pStyle w:val="normal1"/>
        <w:spacing w:lineRule="auto" w:line="480" w:before="0" w:after="0"/>
        <w:ind w:firstLine="720"/>
        <w:jc w:val="both"/>
        <w:rPr/>
      </w:pPr>
      <w:r>
        <w:rPr/>
        <w:t>Parts I through III established frequency, function, and density differences in this corpus. Part IV asks what those differences amount to once the outcome type is in view. The discussion draws on Salager-Meyer’s (1994) claim-responsibility framework and Hyland’s (2005) stance model.</w:t>
      </w:r>
    </w:p>
    <w:p>
      <w:pPr>
        <w:pStyle w:val="normal1"/>
        <w:keepNext w:val="true"/>
        <w:pageBreakBefore w:val="false"/>
        <w:spacing w:lineRule="auto" w:line="480" w:before="720" w:after="0"/>
        <w:jc w:val="center"/>
        <w:rPr/>
      </w:pPr>
      <w:r>
        <w:rPr>
          <w:b/>
          <w:bCs/>
          <w:sz w:val="22"/>
          <w:szCs w:val="22"/>
        </w:rPr>
        <w:t>Table 7</w:t>
      </w:r>
    </w:p>
    <w:p>
      <w:pPr>
        <w:pStyle w:val="normal1"/>
        <w:keepNext w:val="true"/>
        <w:spacing w:lineRule="auto" w:line="480" w:before="0" w:after="60"/>
        <w:jc w:val="center"/>
        <w:rPr/>
      </w:pPr>
      <w:r>
        <w:rPr>
          <w:sz w:val="22"/>
          <w:szCs w:val="22"/>
        </w:rPr>
        <w:t>Outcome Type by Discipline</w:t>
      </w:r>
    </w:p>
    <w:tbl>
      <w:tblPr>
        <w:tblStyle w:val="Table7"/>
        <w:tblW w:w="8305" w:type="dxa"/>
        <w:jc w:val="left"/>
        <w:tblInd w:w="-115" w:type="dxa"/>
        <w:tblLayout w:type="fixed"/>
        <w:tblCellMar>
          <w:top w:w="0" w:type="dxa"/>
          <w:left w:w="108" w:type="dxa"/>
          <w:bottom w:w="0" w:type="dxa"/>
          <w:right w:w="108" w:type="dxa"/>
        </w:tblCellMar>
        <w:tblLook w:val="0400"/>
      </w:tblPr>
      <w:tblGrid>
        <w:gridCol w:w="1661"/>
        <w:gridCol w:w="1661"/>
        <w:gridCol w:w="1661"/>
        <w:gridCol w:w="1661"/>
        <w:gridCol w:w="1661"/>
      </w:tblGrid>
      <w:tr>
        <w:trPr>
          <w:tblHeader w:val="true"/>
          <w:cantSplit w:val="true"/>
        </w:trPr>
        <w:tc>
          <w:tcPr>
            <w:tcW w:w="1661" w:type="dxa"/>
            <w:tcBorders>
              <w:top w:val="single" w:sz="18" w:space="0" w:color="000000"/>
              <w:bottom w:val="single" w:sz="4" w:space="0" w:color="000000"/>
            </w:tcBorders>
          </w:tcPr>
          <w:p>
            <w:pPr>
              <w:pStyle w:val="normal1"/>
              <w:spacing w:lineRule="auto" w:line="480" w:before="0" w:after="0"/>
              <w:rPr>
                <w:sz w:val="18"/>
                <w:szCs w:val="18"/>
              </w:rPr>
            </w:pPr>
            <w:r>
              <w:rPr>
                <w:b/>
                <w:bCs/>
                <w:sz w:val="18"/>
                <w:szCs w:val="18"/>
              </w:rPr>
              <w:t>Outcome Type</w:t>
            </w:r>
          </w:p>
        </w:tc>
        <w:tc>
          <w:tcPr>
            <w:tcW w:w="1661" w:type="dxa"/>
            <w:tcBorders>
              <w:top w:val="single" w:sz="18" w:space="0" w:color="000000"/>
              <w:bottom w:val="single" w:sz="4" w:space="0" w:color="000000"/>
            </w:tcBorders>
          </w:tcPr>
          <w:p>
            <w:pPr>
              <w:pStyle w:val="normal1"/>
              <w:spacing w:lineRule="auto" w:line="480" w:before="0" w:after="0"/>
              <w:rPr>
                <w:sz w:val="18"/>
                <w:szCs w:val="18"/>
              </w:rPr>
            </w:pPr>
            <w:r>
              <w:rPr>
                <w:b/>
                <w:bCs/>
                <w:sz w:val="18"/>
                <w:szCs w:val="18"/>
              </w:rPr>
              <w:t>Agriculture</w:t>
            </w:r>
          </w:p>
        </w:tc>
        <w:tc>
          <w:tcPr>
            <w:tcW w:w="1661" w:type="dxa"/>
            <w:tcBorders>
              <w:top w:val="single" w:sz="18" w:space="0" w:color="000000"/>
              <w:bottom w:val="single" w:sz="4" w:space="0" w:color="000000"/>
            </w:tcBorders>
          </w:tcPr>
          <w:p>
            <w:pPr>
              <w:pStyle w:val="normal1"/>
              <w:spacing w:lineRule="auto" w:line="480" w:before="0" w:after="0"/>
              <w:rPr>
                <w:sz w:val="18"/>
                <w:szCs w:val="18"/>
              </w:rPr>
            </w:pPr>
            <w:r>
              <w:rPr>
                <w:b/>
                <w:bCs/>
                <w:sz w:val="18"/>
                <w:szCs w:val="18"/>
              </w:rPr>
              <w:t>Veterinary Medicine</w:t>
            </w:r>
          </w:p>
        </w:tc>
        <w:tc>
          <w:tcPr>
            <w:tcW w:w="1661" w:type="dxa"/>
            <w:tcBorders>
              <w:top w:val="single" w:sz="18" w:space="0" w:color="000000"/>
              <w:bottom w:val="single" w:sz="4" w:space="0" w:color="000000"/>
            </w:tcBorders>
          </w:tcPr>
          <w:p>
            <w:pPr>
              <w:pStyle w:val="normal1"/>
              <w:spacing w:lineRule="auto" w:line="480" w:before="0" w:after="0"/>
              <w:rPr>
                <w:sz w:val="18"/>
                <w:szCs w:val="18"/>
              </w:rPr>
            </w:pPr>
            <w:r>
              <w:rPr>
                <w:b/>
                <w:bCs/>
                <w:sz w:val="18"/>
                <w:szCs w:val="18"/>
              </w:rPr>
              <w:t>Biology</w:t>
            </w:r>
          </w:p>
        </w:tc>
        <w:tc>
          <w:tcPr>
            <w:tcW w:w="1661" w:type="dxa"/>
            <w:tcBorders>
              <w:top w:val="single" w:sz="18" w:space="0" w:color="000000"/>
              <w:bottom w:val="single" w:sz="4" w:space="0" w:color="000000"/>
            </w:tcBorders>
          </w:tcPr>
          <w:p>
            <w:pPr>
              <w:pStyle w:val="normal1"/>
              <w:spacing w:lineRule="auto" w:line="480" w:before="0" w:after="0"/>
              <w:rPr>
                <w:sz w:val="18"/>
                <w:szCs w:val="18"/>
              </w:rPr>
            </w:pPr>
            <w:r>
              <w:rPr>
                <w:b/>
                <w:bCs/>
                <w:sz w:val="18"/>
                <w:szCs w:val="18"/>
              </w:rPr>
              <w:t>Total</w:t>
            </w:r>
          </w:p>
        </w:tc>
      </w:tr>
      <w:tr>
        <w:trPr>
          <w:cantSplit w:val="true"/>
        </w:trPr>
        <w:tc>
          <w:tcPr>
            <w:tcW w:w="1661" w:type="dxa"/>
            <w:tcBorders/>
          </w:tcPr>
          <w:p>
            <w:pPr>
              <w:pStyle w:val="normal1"/>
              <w:spacing w:lineRule="auto" w:line="480" w:before="0" w:after="0"/>
              <w:rPr>
                <w:sz w:val="18"/>
                <w:szCs w:val="18"/>
              </w:rPr>
            </w:pPr>
            <w:r>
              <w:rPr>
                <w:sz w:val="18"/>
                <w:szCs w:val="18"/>
              </w:rPr>
              <w:t>Binary</w:t>
            </w:r>
          </w:p>
        </w:tc>
        <w:tc>
          <w:tcPr>
            <w:tcW w:w="1661" w:type="dxa"/>
            <w:tcBorders/>
          </w:tcPr>
          <w:p>
            <w:pPr>
              <w:pStyle w:val="normal1"/>
              <w:spacing w:lineRule="auto" w:line="480" w:before="0" w:after="0"/>
              <w:rPr>
                <w:sz w:val="18"/>
                <w:szCs w:val="18"/>
              </w:rPr>
            </w:pPr>
            <w:r>
              <w:rPr>
                <w:sz w:val="18"/>
                <w:szCs w:val="18"/>
              </w:rPr>
              <w:t>0</w:t>
            </w:r>
          </w:p>
        </w:tc>
        <w:tc>
          <w:tcPr>
            <w:tcW w:w="1661" w:type="dxa"/>
            <w:tcBorders/>
          </w:tcPr>
          <w:p>
            <w:pPr>
              <w:pStyle w:val="normal1"/>
              <w:spacing w:lineRule="auto" w:line="480" w:before="0" w:after="0"/>
              <w:rPr>
                <w:sz w:val="18"/>
                <w:szCs w:val="18"/>
              </w:rPr>
            </w:pPr>
            <w:r>
              <w:rPr>
                <w:sz w:val="18"/>
                <w:szCs w:val="18"/>
              </w:rPr>
              <w:t>8</w:t>
            </w:r>
          </w:p>
        </w:tc>
        <w:tc>
          <w:tcPr>
            <w:tcW w:w="1661" w:type="dxa"/>
            <w:tcBorders/>
          </w:tcPr>
          <w:p>
            <w:pPr>
              <w:pStyle w:val="normal1"/>
              <w:spacing w:lineRule="auto" w:line="480" w:before="0" w:after="0"/>
              <w:rPr>
                <w:sz w:val="18"/>
                <w:szCs w:val="18"/>
              </w:rPr>
            </w:pPr>
            <w:r>
              <w:rPr>
                <w:sz w:val="18"/>
                <w:szCs w:val="18"/>
              </w:rPr>
              <w:t>7</w:t>
            </w:r>
          </w:p>
        </w:tc>
        <w:tc>
          <w:tcPr>
            <w:tcW w:w="1661" w:type="dxa"/>
            <w:tcBorders/>
          </w:tcPr>
          <w:p>
            <w:pPr>
              <w:pStyle w:val="normal1"/>
              <w:spacing w:lineRule="auto" w:line="480" w:before="0" w:after="0"/>
              <w:rPr>
                <w:sz w:val="18"/>
                <w:szCs w:val="18"/>
              </w:rPr>
            </w:pPr>
            <w:r>
              <w:rPr>
                <w:sz w:val="18"/>
                <w:szCs w:val="18"/>
              </w:rPr>
              <w:t>15</w:t>
            </w:r>
          </w:p>
        </w:tc>
      </w:tr>
      <w:tr>
        <w:trPr>
          <w:cantSplit w:val="true"/>
        </w:trPr>
        <w:tc>
          <w:tcPr>
            <w:tcW w:w="1661" w:type="dxa"/>
            <w:tcBorders/>
          </w:tcPr>
          <w:p>
            <w:pPr>
              <w:pStyle w:val="normal1"/>
              <w:spacing w:lineRule="auto" w:line="480" w:before="0" w:after="0"/>
              <w:rPr>
                <w:sz w:val="18"/>
                <w:szCs w:val="18"/>
              </w:rPr>
            </w:pPr>
            <w:r>
              <w:rPr>
                <w:sz w:val="18"/>
                <w:szCs w:val="18"/>
              </w:rPr>
              <w:t>Continuous</w:t>
            </w:r>
          </w:p>
        </w:tc>
        <w:tc>
          <w:tcPr>
            <w:tcW w:w="1661" w:type="dxa"/>
            <w:tcBorders/>
          </w:tcPr>
          <w:p>
            <w:pPr>
              <w:pStyle w:val="normal1"/>
              <w:spacing w:lineRule="auto" w:line="480" w:before="0" w:after="0"/>
              <w:rPr>
                <w:sz w:val="18"/>
                <w:szCs w:val="18"/>
              </w:rPr>
            </w:pPr>
            <w:r>
              <w:rPr>
                <w:sz w:val="18"/>
                <w:szCs w:val="18"/>
              </w:rPr>
              <w:t>4</w:t>
            </w:r>
          </w:p>
        </w:tc>
        <w:tc>
          <w:tcPr>
            <w:tcW w:w="1661" w:type="dxa"/>
            <w:tcBorders/>
          </w:tcPr>
          <w:p>
            <w:pPr>
              <w:pStyle w:val="normal1"/>
              <w:spacing w:lineRule="auto" w:line="480" w:before="0" w:after="0"/>
              <w:rPr>
                <w:sz w:val="18"/>
                <w:szCs w:val="18"/>
              </w:rPr>
            </w:pPr>
            <w:r>
              <w:rPr>
                <w:sz w:val="18"/>
                <w:szCs w:val="18"/>
              </w:rPr>
              <w:t>4</w:t>
            </w:r>
          </w:p>
        </w:tc>
        <w:tc>
          <w:tcPr>
            <w:tcW w:w="1661" w:type="dxa"/>
            <w:tcBorders/>
          </w:tcPr>
          <w:p>
            <w:pPr>
              <w:pStyle w:val="normal1"/>
              <w:spacing w:lineRule="auto" w:line="480" w:before="0" w:after="0"/>
              <w:rPr>
                <w:sz w:val="18"/>
                <w:szCs w:val="18"/>
              </w:rPr>
            </w:pPr>
            <w:r>
              <w:rPr>
                <w:sz w:val="18"/>
                <w:szCs w:val="18"/>
              </w:rPr>
              <w:t>2</w:t>
            </w:r>
          </w:p>
        </w:tc>
        <w:tc>
          <w:tcPr>
            <w:tcW w:w="1661" w:type="dxa"/>
            <w:tcBorders/>
          </w:tcPr>
          <w:p>
            <w:pPr>
              <w:pStyle w:val="normal1"/>
              <w:spacing w:lineRule="auto" w:line="480" w:before="0" w:after="0"/>
              <w:rPr>
                <w:sz w:val="18"/>
                <w:szCs w:val="18"/>
              </w:rPr>
            </w:pPr>
            <w:r>
              <w:rPr>
                <w:sz w:val="18"/>
                <w:szCs w:val="18"/>
              </w:rPr>
              <w:t>10</w:t>
            </w:r>
          </w:p>
        </w:tc>
      </w:tr>
      <w:tr>
        <w:trPr>
          <w:cantSplit w:val="true"/>
        </w:trPr>
        <w:tc>
          <w:tcPr>
            <w:tcW w:w="1661" w:type="dxa"/>
            <w:tcBorders/>
          </w:tcPr>
          <w:p>
            <w:pPr>
              <w:pStyle w:val="normal1"/>
              <w:spacing w:lineRule="auto" w:line="480" w:before="0" w:after="0"/>
              <w:rPr>
                <w:sz w:val="18"/>
                <w:szCs w:val="18"/>
              </w:rPr>
            </w:pPr>
            <w:r>
              <w:rPr>
                <w:sz w:val="18"/>
                <w:szCs w:val="18"/>
              </w:rPr>
              <w:t>Mixed</w:t>
            </w:r>
          </w:p>
        </w:tc>
        <w:tc>
          <w:tcPr>
            <w:tcW w:w="1661" w:type="dxa"/>
            <w:tcBorders/>
          </w:tcPr>
          <w:p>
            <w:pPr>
              <w:pStyle w:val="normal1"/>
              <w:spacing w:lineRule="auto" w:line="480" w:before="0" w:after="0"/>
              <w:rPr>
                <w:sz w:val="18"/>
                <w:szCs w:val="18"/>
              </w:rPr>
            </w:pPr>
            <w:r>
              <w:rPr>
                <w:sz w:val="18"/>
                <w:szCs w:val="18"/>
              </w:rPr>
              <w:t>2</w:t>
            </w:r>
          </w:p>
        </w:tc>
        <w:tc>
          <w:tcPr>
            <w:tcW w:w="1661" w:type="dxa"/>
            <w:tcBorders/>
          </w:tcPr>
          <w:p>
            <w:pPr>
              <w:pStyle w:val="normal1"/>
              <w:spacing w:lineRule="auto" w:line="480" w:before="0" w:after="0"/>
              <w:rPr>
                <w:sz w:val="18"/>
                <w:szCs w:val="18"/>
              </w:rPr>
            </w:pPr>
            <w:r>
              <w:rPr>
                <w:sz w:val="18"/>
                <w:szCs w:val="18"/>
              </w:rPr>
              <w:t>3</w:t>
            </w:r>
          </w:p>
        </w:tc>
        <w:tc>
          <w:tcPr>
            <w:tcW w:w="1661" w:type="dxa"/>
            <w:tcBorders/>
          </w:tcPr>
          <w:p>
            <w:pPr>
              <w:pStyle w:val="normal1"/>
              <w:spacing w:lineRule="auto" w:line="480" w:before="0" w:after="0"/>
              <w:rPr>
                <w:sz w:val="18"/>
                <w:szCs w:val="18"/>
              </w:rPr>
            </w:pPr>
            <w:r>
              <w:rPr>
                <w:sz w:val="18"/>
                <w:szCs w:val="18"/>
              </w:rPr>
              <w:t>4</w:t>
            </w:r>
          </w:p>
        </w:tc>
        <w:tc>
          <w:tcPr>
            <w:tcW w:w="1661" w:type="dxa"/>
            <w:tcBorders/>
          </w:tcPr>
          <w:p>
            <w:pPr>
              <w:pStyle w:val="normal1"/>
              <w:spacing w:lineRule="auto" w:line="480" w:before="0" w:after="0"/>
              <w:rPr>
                <w:sz w:val="18"/>
                <w:szCs w:val="18"/>
              </w:rPr>
            </w:pPr>
            <w:r>
              <w:rPr>
                <w:sz w:val="18"/>
                <w:szCs w:val="18"/>
              </w:rPr>
              <w:t>9</w:t>
            </w:r>
          </w:p>
        </w:tc>
      </w:tr>
      <w:tr>
        <w:trPr>
          <w:cantSplit w:val="true"/>
        </w:trPr>
        <w:tc>
          <w:tcPr>
            <w:tcW w:w="1661" w:type="dxa"/>
            <w:tcBorders/>
          </w:tcPr>
          <w:p>
            <w:pPr>
              <w:pStyle w:val="normal1"/>
              <w:spacing w:lineRule="auto" w:line="480" w:before="0" w:after="0"/>
              <w:rPr>
                <w:sz w:val="18"/>
                <w:szCs w:val="18"/>
              </w:rPr>
            </w:pPr>
            <w:r>
              <w:rPr>
                <w:sz w:val="18"/>
                <w:szCs w:val="18"/>
              </w:rPr>
              <w:t>Null/NS</w:t>
            </w:r>
          </w:p>
        </w:tc>
        <w:tc>
          <w:tcPr>
            <w:tcW w:w="1661" w:type="dxa"/>
            <w:tcBorders/>
          </w:tcPr>
          <w:p>
            <w:pPr>
              <w:pStyle w:val="normal1"/>
              <w:spacing w:lineRule="auto" w:line="480" w:before="0" w:after="0"/>
              <w:rPr>
                <w:sz w:val="18"/>
                <w:szCs w:val="18"/>
              </w:rPr>
            </w:pPr>
            <w:r>
              <w:rPr>
                <w:sz w:val="18"/>
                <w:szCs w:val="18"/>
              </w:rPr>
              <w:t>14</w:t>
            </w:r>
          </w:p>
        </w:tc>
        <w:tc>
          <w:tcPr>
            <w:tcW w:w="1661" w:type="dxa"/>
            <w:tcBorders/>
          </w:tcPr>
          <w:p>
            <w:pPr>
              <w:pStyle w:val="normal1"/>
              <w:spacing w:lineRule="auto" w:line="480" w:before="0" w:after="0"/>
              <w:rPr>
                <w:sz w:val="18"/>
                <w:szCs w:val="18"/>
              </w:rPr>
            </w:pPr>
            <w:r>
              <w:rPr>
                <w:sz w:val="18"/>
                <w:szCs w:val="18"/>
              </w:rPr>
              <w:t>2</w:t>
            </w:r>
          </w:p>
        </w:tc>
        <w:tc>
          <w:tcPr>
            <w:tcW w:w="1661" w:type="dxa"/>
            <w:tcBorders/>
          </w:tcPr>
          <w:p>
            <w:pPr>
              <w:pStyle w:val="normal1"/>
              <w:spacing w:lineRule="auto" w:line="480" w:before="0" w:after="0"/>
              <w:rPr>
                <w:sz w:val="18"/>
                <w:szCs w:val="18"/>
              </w:rPr>
            </w:pPr>
            <w:r>
              <w:rPr>
                <w:sz w:val="18"/>
                <w:szCs w:val="18"/>
              </w:rPr>
              <w:t>5</w:t>
            </w:r>
          </w:p>
        </w:tc>
        <w:tc>
          <w:tcPr>
            <w:tcW w:w="1661" w:type="dxa"/>
            <w:tcBorders/>
          </w:tcPr>
          <w:p>
            <w:pPr>
              <w:pStyle w:val="normal1"/>
              <w:spacing w:lineRule="auto" w:line="480" w:before="0" w:after="0"/>
              <w:rPr>
                <w:sz w:val="18"/>
                <w:szCs w:val="18"/>
              </w:rPr>
            </w:pPr>
            <w:r>
              <w:rPr>
                <w:sz w:val="18"/>
                <w:szCs w:val="18"/>
              </w:rPr>
              <w:t>21</w:t>
            </w:r>
          </w:p>
        </w:tc>
      </w:tr>
      <w:tr>
        <w:trPr>
          <w:cantSplit w:val="true"/>
        </w:trPr>
        <w:tc>
          <w:tcPr>
            <w:tcW w:w="1661" w:type="dxa"/>
            <w:tcBorders/>
          </w:tcPr>
          <w:p>
            <w:pPr>
              <w:pStyle w:val="normal1"/>
              <w:spacing w:lineRule="auto" w:line="480" w:before="0" w:after="0"/>
              <w:rPr>
                <w:sz w:val="18"/>
                <w:szCs w:val="18"/>
              </w:rPr>
            </w:pPr>
            <w:r>
              <w:rPr>
                <w:sz w:val="18"/>
                <w:szCs w:val="18"/>
              </w:rPr>
              <w:t>Other</w:t>
            </w:r>
          </w:p>
        </w:tc>
        <w:tc>
          <w:tcPr>
            <w:tcW w:w="1661" w:type="dxa"/>
            <w:tcBorders/>
          </w:tcPr>
          <w:p>
            <w:pPr>
              <w:pStyle w:val="normal1"/>
              <w:spacing w:lineRule="auto" w:line="480" w:before="0" w:after="0"/>
              <w:rPr>
                <w:sz w:val="18"/>
                <w:szCs w:val="18"/>
              </w:rPr>
            </w:pPr>
            <w:r>
              <w:rPr>
                <w:sz w:val="18"/>
                <w:szCs w:val="18"/>
              </w:rPr>
              <w:t>0</w:t>
            </w:r>
          </w:p>
        </w:tc>
        <w:tc>
          <w:tcPr>
            <w:tcW w:w="1661" w:type="dxa"/>
            <w:tcBorders/>
          </w:tcPr>
          <w:p>
            <w:pPr>
              <w:pStyle w:val="normal1"/>
              <w:spacing w:lineRule="auto" w:line="480" w:before="0" w:after="0"/>
              <w:rPr>
                <w:sz w:val="18"/>
                <w:szCs w:val="18"/>
              </w:rPr>
            </w:pPr>
            <w:r>
              <w:rPr>
                <w:sz w:val="18"/>
                <w:szCs w:val="18"/>
              </w:rPr>
              <w:t>3</w:t>
            </w:r>
          </w:p>
        </w:tc>
        <w:tc>
          <w:tcPr>
            <w:tcW w:w="1661" w:type="dxa"/>
            <w:tcBorders/>
          </w:tcPr>
          <w:p>
            <w:pPr>
              <w:pStyle w:val="normal1"/>
              <w:spacing w:lineRule="auto" w:line="480" w:before="0" w:after="0"/>
              <w:rPr>
                <w:sz w:val="18"/>
                <w:szCs w:val="18"/>
              </w:rPr>
            </w:pPr>
            <w:r>
              <w:rPr>
                <w:sz w:val="18"/>
                <w:szCs w:val="18"/>
              </w:rPr>
              <w:t>2</w:t>
            </w:r>
          </w:p>
        </w:tc>
        <w:tc>
          <w:tcPr>
            <w:tcW w:w="1661" w:type="dxa"/>
            <w:tcBorders/>
          </w:tcPr>
          <w:p>
            <w:pPr>
              <w:pStyle w:val="normal1"/>
              <w:spacing w:lineRule="auto" w:line="480" w:before="0" w:after="0"/>
              <w:rPr>
                <w:sz w:val="18"/>
                <w:szCs w:val="18"/>
              </w:rPr>
            </w:pPr>
            <w:r>
              <w:rPr>
                <w:sz w:val="18"/>
                <w:szCs w:val="18"/>
              </w:rPr>
              <w:t>5</w:t>
            </w:r>
          </w:p>
        </w:tc>
      </w:tr>
      <w:tr>
        <w:trPr>
          <w:cantSplit w:val="true"/>
        </w:trPr>
        <w:tc>
          <w:tcPr>
            <w:tcW w:w="1661" w:type="dxa"/>
            <w:tcBorders>
              <w:bottom w:val="single" w:sz="18" w:space="0" w:color="000000"/>
            </w:tcBorders>
          </w:tcPr>
          <w:p>
            <w:pPr>
              <w:pStyle w:val="normal1"/>
              <w:spacing w:lineRule="auto" w:line="480" w:before="0" w:after="0"/>
              <w:rPr>
                <w:sz w:val="18"/>
                <w:szCs w:val="18"/>
              </w:rPr>
            </w:pPr>
            <w:r>
              <w:rPr>
                <w:sz w:val="18"/>
                <w:szCs w:val="18"/>
              </w:rPr>
              <w:t>Total</w:t>
            </w:r>
          </w:p>
        </w:tc>
        <w:tc>
          <w:tcPr>
            <w:tcW w:w="1661" w:type="dxa"/>
            <w:tcBorders>
              <w:bottom w:val="single" w:sz="18" w:space="0" w:color="000000"/>
            </w:tcBorders>
          </w:tcPr>
          <w:p>
            <w:pPr>
              <w:pStyle w:val="normal1"/>
              <w:spacing w:lineRule="auto" w:line="480" w:before="0" w:after="0"/>
              <w:rPr>
                <w:sz w:val="18"/>
                <w:szCs w:val="18"/>
              </w:rPr>
            </w:pPr>
            <w:r>
              <w:rPr>
                <w:sz w:val="18"/>
                <w:szCs w:val="18"/>
              </w:rPr>
              <w:t>20</w:t>
            </w:r>
          </w:p>
        </w:tc>
        <w:tc>
          <w:tcPr>
            <w:tcW w:w="1661" w:type="dxa"/>
            <w:tcBorders>
              <w:bottom w:val="single" w:sz="18" w:space="0" w:color="000000"/>
            </w:tcBorders>
          </w:tcPr>
          <w:p>
            <w:pPr>
              <w:pStyle w:val="normal1"/>
              <w:spacing w:lineRule="auto" w:line="480" w:before="0" w:after="0"/>
              <w:rPr>
                <w:sz w:val="18"/>
                <w:szCs w:val="18"/>
              </w:rPr>
            </w:pPr>
            <w:r>
              <w:rPr>
                <w:sz w:val="18"/>
                <w:szCs w:val="18"/>
              </w:rPr>
              <w:t>20</w:t>
            </w:r>
          </w:p>
        </w:tc>
        <w:tc>
          <w:tcPr>
            <w:tcW w:w="1661" w:type="dxa"/>
            <w:tcBorders>
              <w:bottom w:val="single" w:sz="18" w:space="0" w:color="000000"/>
            </w:tcBorders>
          </w:tcPr>
          <w:p>
            <w:pPr>
              <w:pStyle w:val="normal1"/>
              <w:spacing w:lineRule="auto" w:line="480" w:before="0" w:after="0"/>
              <w:rPr>
                <w:sz w:val="18"/>
                <w:szCs w:val="18"/>
              </w:rPr>
            </w:pPr>
            <w:r>
              <w:rPr>
                <w:sz w:val="18"/>
                <w:szCs w:val="18"/>
              </w:rPr>
              <w:t>20</w:t>
            </w:r>
          </w:p>
        </w:tc>
        <w:tc>
          <w:tcPr>
            <w:tcW w:w="1661" w:type="dxa"/>
            <w:tcBorders>
              <w:bottom w:val="single" w:sz="18" w:space="0" w:color="000000"/>
            </w:tcBorders>
          </w:tcPr>
          <w:p>
            <w:pPr>
              <w:pStyle w:val="normal1"/>
              <w:spacing w:lineRule="auto" w:line="480" w:before="0" w:after="0"/>
              <w:rPr>
                <w:sz w:val="18"/>
                <w:szCs w:val="18"/>
              </w:rPr>
            </w:pPr>
            <w:r>
              <w:rPr>
                <w:sz w:val="18"/>
                <w:szCs w:val="18"/>
              </w:rPr>
              <w:t>60</w:t>
            </w:r>
          </w:p>
        </w:tc>
      </w:tr>
    </w:tbl>
    <w:p>
      <w:pPr>
        <w:pStyle w:val="normal1"/>
        <w:spacing w:lineRule="auto" w:line="480" w:before="240" w:after="0"/>
        <w:ind w:firstLine="720"/>
        <w:jc w:val="both"/>
        <w:rPr/>
      </w:pPr>
      <w:r>
        <w:rPr>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 categories describe study outcomes so that density patterns can be read against result style. On that coding, the binary-outcome account of VM density is not supported. VM Binary abstracts average 0.38 hedges (3 hedges across 8 abstracts). Biology Binary abstracts average 1.57 (11 hedges across 7 abstracts). Same outcome class, substantially more hedging in Biology.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pPr>
        <w:pStyle w:val="normal1"/>
        <w:spacing w:lineRule="auto" w:line="480" w:before="0" w:after="0"/>
        <w:ind w:firstLine="720"/>
        <w:jc w:val="both"/>
        <w:rPr/>
      </w:pPr>
      <w:r>
        <w:rPr>
          <w:sz w:val="22"/>
          <w:szCs w:val="22"/>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and writers who state implications flatly take fuller responsibility for those claims. Veterinary Medicine’s lower hedge density is therefore readable as less explicit softening where abstracts turn from results to implications. Unhedged assertions were 4 in Veterinary Medicine, 4 in Biology, and 6 in Agriculture (Table 5), so VM shows no sign of more overclaiming. Hyland’s (2005) stance model fits this reading: fewer hedges mean less explicit softening of authorial commitment.</w:t>
      </w:r>
    </w:p>
    <w:p>
      <w:pPr>
        <w:pStyle w:val="normal1"/>
        <w:spacing w:lineRule="auto" w:line="480" w:before="0" w:after="0"/>
        <w:ind w:firstLine="720"/>
        <w:jc w:val="both"/>
        <w:rPr/>
      </w:pPr>
      <w:r>
        <w:rPr>
          <w:sz w:val="22"/>
          <w:szCs w:val="22"/>
        </w:rPr>
        <w:t>Outcome type does not remove the gap. When results are reported as presence/absence findings, VM abstracts still use fewer epistemic softeners than Biology abstracts of the same outcome class. That is consistent with programs managing claim responsibility differently, not with a rule that binary evidence needs no hedge. Acs2 illustrates the opposite pole. It is one Agriculture abstract, so it cannot show a Null/NS pattern, but it is theoretically useful. Under Salager-Meyer’s (1994) claim-responsibility account, the abstract reports non-significance and then redistributes responsibility by hedging residual benefits. In English terms, the writer keeps a treatment sounding viable after the statistical claim has failed. That is the overclaiming risk flagged in the introduction, visible as rescue-hedging rather than as high density alone. Counting how many of the 21 Null/NS abstracts hedge a benefit after a non-significant result would show how common this is. The corpus therefore supports a limited claim: in these abstracts, density differences track how programs word caution around findings and implications, not only how study designs package results.</w:t>
      </w:r>
    </w:p>
    <w:p>
      <w:pPr>
        <w:pStyle w:val="normal1"/>
        <w:spacing w:lineRule="auto" w:line="480" w:before="0" w:after="0"/>
        <w:ind w:firstLine="720"/>
        <w:jc w:val="both"/>
        <w:rPr/>
      </w:pPr>
      <w:r>
        <w:rPr/>
        <w:t>Among these three programs, the only pairwise density contrast that survives correction is Biology versus Veterinary Medicine. What differs is how these ratified abstracts use English to mark caution around findings and implications: more sustained epistemic softening in the Biology subset, thinner softening in the Veterinary Medicine subset, under the same outcome class. Abstract text alone cannot separate field convention, adviser practice, and individual skill as causes.</w:t>
      </w:r>
    </w:p>
    <w:p>
      <w:pPr>
        <w:pStyle w:val="normal1"/>
        <w:spacing w:lineRule="auto" w:line="480" w:before="0" w:after="0"/>
        <w:ind w:firstLine="720"/>
        <w:jc w:val="both"/>
        <w:rPr/>
      </w:pPr>
      <w:r>
        <w:rPr/>
        <w:t>Interpretive proposals. Two readings follow from these patterns, offered as hypotheses for later work. First, VM abstracts may more often end on results with no implication sentence, which leaves less to hedge. A move-structured count of the VM subset would show whether this is so. Second, advisers may filter interpersonal softening out of final abstracts, which would help explain the all-EC profile. Comparing early drafts with the ratified abstracts would test it.</w:t>
      </w:r>
    </w:p>
    <w:p>
      <w:pPr>
        <w:sectPr>
          <w:headerReference w:type="default" r:id="rId17"/>
          <w:headerReference w:type="first" r:id="rId18"/>
          <w:footerReference w:type="default" r:id="rId19"/>
          <w:footerReference w:type="first" r:id="rId20"/>
          <w:type w:val="nextPage"/>
          <w:pgSz w:w="11906" w:h="16838"/>
          <w:pgMar w:left="2160" w:right="1440" w:gutter="0" w:header="720" w:top="1440" w:footer="720" w:bottom="1440"/>
          <w:pgNumType w:fmt="decimal"/>
          <w:formProt w:val="false"/>
          <w:titlePg/>
          <w:textDirection w:val="lrTb"/>
          <w:docGrid w:type="default" w:linePitch="100" w:charSpace="4096"/>
        </w:sectPr>
        <w:pStyle w:val="normal1"/>
        <w:spacing w:lineRule="auto" w:line="480" w:before="0" w:after="0"/>
        <w:ind w:firstLine="720"/>
        <w:jc w:val="both"/>
        <w:rPr/>
      </w:pPr>
      <w:r>
        <w:rPr/>
      </w:r>
      <w:r>
        <w:br w:type="page"/>
      </w:r>
    </w:p>
    <w:p>
      <w:pPr>
        <w:pStyle w:val="normal1"/>
        <w:spacing w:lineRule="auto" w:line="480" w:before="0" w:after="240"/>
        <w:ind w:hanging="0"/>
        <w:jc w:val="center"/>
        <w:rPr/>
      </w:pPr>
      <w:r>
        <w:rPr>
          <w:b/>
          <w:bCs/>
          <w:sz w:val="28"/>
          <w:szCs w:val="28"/>
        </w:rPr>
        <w:t>CONCLUSIONS AND RECOMMENDATIONS</w:t>
      </w:r>
    </w:p>
    <w:p>
      <w:pPr>
        <w:pStyle w:val="normal1"/>
        <w:spacing w:lineRule="auto" w:line="480" w:before="0" w:after="0"/>
        <w:ind w:firstLine="720"/>
        <w:jc w:val="both"/>
        <w:rPr/>
      </w:pPr>
      <w:r>
        <w:rPr/>
      </w:r>
    </w:p>
    <w:p>
      <w:pPr>
        <w:pStyle w:val="normal1"/>
        <w:spacing w:lineRule="auto" w:line="480" w:before="0" w:after="0"/>
        <w:ind w:firstLine="720"/>
        <w:jc w:val="both"/>
        <w:rPr/>
      </w:pPr>
      <w:r>
        <w:rPr>
          <w:sz w:val="22"/>
          <w:szCs w:val="22"/>
        </w:rPr>
        <w:t>This study mapped how developing researchers at PSAU used English hedging resources in 60 undergraduate thesis abstracts across Agriculture, Veterinary Medicine, and Biology.</w:t>
      </w:r>
    </w:p>
    <w:p>
      <w:pPr>
        <w:pStyle w:val="normal1"/>
        <w:keepNext w:val="true"/>
        <w:spacing w:lineRule="auto" w:line="480" w:before="240" w:after="120"/>
        <w:ind w:hanging="0"/>
        <w:rPr/>
      </w:pPr>
      <w:r>
        <w:rPr>
          <w:b/>
          <w:bCs/>
          <w:sz w:val="24"/>
          <w:szCs w:val="24"/>
        </w:rPr>
        <w:t>Conclusions</w:t>
      </w:r>
    </w:p>
    <w:p>
      <w:pPr>
        <w:pStyle w:val="normal1"/>
        <w:spacing w:lineRule="auto" w:line="480" w:before="0" w:after="0"/>
        <w:ind w:firstLine="720"/>
        <w:jc w:val="both"/>
        <w:rPr/>
      </w:pPr>
      <w:r>
        <w:rPr>
          <w:sz w:val="22"/>
          <w:szCs w:val="22"/>
        </w:rPr>
        <w:t>This study set out to map how developing researchers at PSAU encode caution in English in the thesis abstract, a short genre where every claim is visible and already ratified by advisers. The picture that emerges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In these abstracts, writers report findings and edge implications.</w:t>
      </w:r>
    </w:p>
    <w:p>
      <w:pPr>
        <w:pStyle w:val="normal1"/>
        <w:spacing w:lineRule="auto" w:line="480" w:before="0" w:after="0"/>
        <w:ind w:firstLine="720"/>
        <w:jc w:val="both"/>
        <w:rPr/>
      </w:pPr>
      <w:r>
        <w:rPr>
          <w:sz w:val="22"/>
          <w:szCs w:val="22"/>
        </w:rPr>
        <w:t>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w:t>
      </w:r>
    </w:p>
    <w:p>
      <w:pPr>
        <w:pStyle w:val="normal1"/>
        <w:spacing w:lineRule="auto" w:line="480" w:before="0" w:after="0"/>
        <w:ind w:firstLine="720"/>
        <w:jc w:val="both"/>
        <w:rPr/>
      </w:pPr>
      <w:r>
        <w:rPr>
          <w:sz w:val="22"/>
          <w:szCs w:val="22"/>
        </w:rPr>
        <w:t>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pPr>
        <w:pStyle w:val="normal1"/>
        <w:keepNext w:val="true"/>
        <w:spacing w:lineRule="auto" w:line="480" w:before="240" w:after="120"/>
        <w:ind w:hanging="0"/>
        <w:rPr/>
      </w:pPr>
      <w:r>
        <w:rPr>
          <w:b/>
          <w:bCs/>
          <w:sz w:val="24"/>
          <w:szCs w:val="24"/>
        </w:rPr>
        <w:t>Recommendations</w:t>
      </w:r>
    </w:p>
    <w:p>
      <w:pPr>
        <w:pStyle w:val="normal1"/>
        <w:spacing w:lineRule="auto" w:line="480" w:before="0" w:after="0"/>
        <w:ind w:firstLine="720"/>
        <w:jc w:val="both"/>
        <w:rPr/>
      </w:pPr>
      <w:r>
        <w:rPr>
          <w:sz w:val="22"/>
          <w:szCs w:val="22"/>
        </w:rPr>
        <w:t>Based on the findings of this study, writing instructors and thesis advisers at PSAU may treat hedging as a judgment about how far a claim may go beyond the data, rather than as a general polish added for caution alone. Feedback on abstracts may focus on the move from results to implication. That is where this corpus shows both missing caution on generalizations and causal claims, and denser hedging that keeps non-significant treatments sounding still useful. Advisers already shape the final abstract. Making that judgment explicit in supervision may help students see when a finding can stand plain and when an implication needs restraint.</w:t>
      </w:r>
    </w:p>
    <w:p>
      <w:pPr>
        <w:pStyle w:val="normal1"/>
        <w:spacing w:lineRule="auto" w:line="480" w:before="0" w:after="0"/>
        <w:ind w:firstLine="720"/>
        <w:jc w:val="both"/>
        <w:rPr/>
      </w:pPr>
      <w:r>
        <w:rPr>
          <w:sz w:val="22"/>
          <w:szCs w:val="22"/>
        </w:rPr>
        <w:t xml:space="preserve">Teachers in the BAELS program and related writing courses may use the local pattern as a teaching resource. Many abstracts in the sample soften little. When they do, the work is concentrated in a narrow set of forms, mainly lexical items such as </w:t>
      </w:r>
      <w:r>
        <w:rPr>
          <w:i/>
          <w:iCs/>
          <w:sz w:val="22"/>
          <w:szCs w:val="22"/>
        </w:rPr>
        <w:t>potential</w:t>
      </w:r>
      <w:r>
        <w:rPr>
          <w:sz w:val="22"/>
          <w:szCs w:val="22"/>
        </w:rPr>
        <w:t xml:space="preserve"> and </w:t>
      </w:r>
      <w:r>
        <w:rPr>
          <w:i/>
          <w:iCs/>
          <w:sz w:val="22"/>
          <w:szCs w:val="22"/>
        </w:rPr>
        <w:t>suggest</w:t>
      </w:r>
      <w:r>
        <w:rPr>
          <w:sz w:val="22"/>
          <w:szCs w:val="22"/>
        </w:rPr>
        <w:t>, with modal verbs as the other main resource. Instruction that assumes a full academic hedging repertoire will miss what this campus sample actually shows. Classroom tasks may instead train students to match the strength of a claim to the strength of the evidence in the same sentence.</w:t>
      </w:r>
    </w:p>
    <w:p>
      <w:pPr>
        <w:pStyle w:val="normal1"/>
        <w:spacing w:lineRule="auto" w:line="480" w:before="0" w:after="0"/>
        <w:ind w:firstLine="720"/>
        <w:jc w:val="both"/>
        <w:rPr/>
      </w:pPr>
      <w:r>
        <w:rPr>
          <w:sz w:val="22"/>
          <w:szCs w:val="22"/>
        </w:rPr>
        <w:t>Future researchers may use this study as a local baseline for undergraduate thesis abstracts in Agriculture, Veterinary Medicine, and Biology at PSAU. They may expand the design with inter-rater coding on at least a subset of the corpus, with independent proficiency measures, or with a matched set of expert abstracts from the same three programs. Those steps would help separate genre compression in the abstract from writer resource limits and from adviser-enforced departmental standards.</w:t>
      </w:r>
    </w:p>
    <w:p>
      <w:pPr>
        <w:sectPr>
          <w:headerReference w:type="default" r:id="rId21"/>
          <w:headerReference w:type="first" r:id="rId22"/>
          <w:footerReference w:type="default" r:id="rId23"/>
          <w:footerReference w:type="first" r:id="rId24"/>
          <w:type w:val="nextPage"/>
          <w:pgSz w:w="11906" w:h="16838"/>
          <w:pgMar w:left="2160" w:right="1440" w:gutter="0" w:header="720" w:top="1440" w:footer="720" w:bottom="1440"/>
          <w:pgNumType w:fmt="decimal"/>
          <w:formProt w:val="false"/>
          <w:titlePg/>
          <w:textDirection w:val="lrTb"/>
          <w:docGrid w:type="default" w:linePitch="100" w:charSpace="4096"/>
        </w:sectPr>
        <w:pStyle w:val="normal1"/>
        <w:spacing w:lineRule="auto" w:line="480" w:before="0" w:after="0"/>
        <w:rPr/>
      </w:pPr>
      <w:r>
        <w:rPr>
          <w:sz w:val="22"/>
          <w:szCs w:val="22"/>
        </w:rPr>
        <w:t>Researchers may also apply the coding rules and false-positive log from this thesis to longer genres, such as discussion chapters, where interpersonal softening of claims may have more room than the abstract form allows.</w:t>
      </w:r>
    </w:p>
    <w:p>
      <w:pPr>
        <w:pStyle w:val="normal1"/>
        <w:spacing w:lineRule="auto" w:line="480" w:before="720" w:after="240"/>
        <w:ind w:hanging="0"/>
        <w:jc w:val="center"/>
        <w:rPr/>
      </w:pPr>
      <w:r>
        <w:rPr>
          <w:b/>
          <w:bCs/>
          <w:sz w:val="28"/>
          <w:szCs w:val="28"/>
        </w:rPr>
        <w:t>REFERENCES</w:t>
      </w:r>
    </w:p>
    <w:p>
      <w:pPr>
        <w:pStyle w:val="normal1"/>
        <w:spacing w:lineRule="auto" w:line="480" w:before="0" w:after="0"/>
        <w:ind w:firstLine="720" w:left="720"/>
        <w:jc w:val="both"/>
        <w:rPr/>
      </w:pPr>
      <w:r>
        <w:rPr/>
      </w:r>
    </w:p>
    <w:p>
      <w:pPr>
        <w:pStyle w:val="normal1"/>
        <w:spacing w:lineRule="auto" w:line="480" w:before="0" w:after="0"/>
        <w:ind w:hanging="720" w:left="720"/>
        <w:jc w:val="both"/>
        <w:rPr/>
      </w:pPr>
      <w:r>
        <w:rPr>
          <w:sz w:val="22"/>
          <w:szCs w:val="22"/>
        </w:rPr>
        <w:t xml:space="preserve">Afshar, H. S., Moradi, M., &amp; Hamzavi, R. (2014). Frequency and type of hedging devices used in the research articles of humanities, basic sciences and agriculture. Procedia - Social and Behavioral Sciences, 136, 70-74. </w:t>
      </w:r>
      <w:hyperlink r:id="rId25">
        <w:r>
          <w:rPr>
            <w:rStyle w:val="ListLabel1"/>
            <w:color w:val="1155CC"/>
            <w:sz w:val="22"/>
            <w:szCs w:val="22"/>
            <w:u w:val="single"/>
          </w:rPr>
          <w:t>https://doi.org/10.1016/j.sbspro.2014.05.290</w:t>
        </w:r>
      </w:hyperlink>
    </w:p>
    <w:p>
      <w:pPr>
        <w:pStyle w:val="normal1"/>
        <w:spacing w:lineRule="auto" w:line="480" w:before="0" w:after="0"/>
        <w:ind w:hanging="720" w:left="720"/>
        <w:jc w:val="both"/>
        <w:rPr/>
      </w:pPr>
      <w:r>
        <w:rPr>
          <w:sz w:val="22"/>
          <w:szCs w:val="22"/>
        </w:rPr>
        <w:t xml:space="preserve">Biber, D., Conrad, S., &amp; Reppen, R. (1998). </w:t>
      </w:r>
      <w:r>
        <w:rPr>
          <w:i/>
          <w:iCs/>
          <w:sz w:val="22"/>
          <w:szCs w:val="22"/>
        </w:rPr>
        <w:t>Corpus linguistics: Investigating language structure and use</w:t>
      </w:r>
      <w:r>
        <w:rPr>
          <w:sz w:val="22"/>
          <w:szCs w:val="22"/>
        </w:rPr>
        <w:t>. Cambridge University Press.</w:t>
      </w:r>
    </w:p>
    <w:p>
      <w:pPr>
        <w:pStyle w:val="normal1"/>
        <w:spacing w:lineRule="auto" w:line="480" w:before="0" w:after="0"/>
        <w:ind w:hanging="720" w:left="720"/>
        <w:jc w:val="both"/>
        <w:rPr/>
      </w:pPr>
      <w:r>
        <w:rPr>
          <w:sz w:val="22"/>
          <w:szCs w:val="22"/>
        </w:rPr>
        <w:t xml:space="preserve">Crompton, P. (1997). Hedging in academic writing: Some theoretical problems. English for Specific Purposes, 16(4), 271-287. </w:t>
      </w:r>
      <w:hyperlink r:id="rId26">
        <w:r>
          <w:rPr>
            <w:rStyle w:val="ListLabel1"/>
            <w:color w:val="1155CC"/>
            <w:sz w:val="22"/>
            <w:szCs w:val="22"/>
            <w:u w:val="single"/>
          </w:rPr>
          <w:t>https://doi.org/10.1016/S0889-4906(97)00007-0</w:t>
        </w:r>
      </w:hyperlink>
    </w:p>
    <w:p>
      <w:pPr>
        <w:pStyle w:val="normal1"/>
        <w:spacing w:lineRule="auto" w:line="480" w:before="0" w:after="0"/>
        <w:ind w:hanging="720" w:left="720"/>
        <w:jc w:val="both"/>
        <w:rPr/>
      </w:pPr>
      <w:r>
        <w:rPr>
          <w:sz w:val="22"/>
          <w:szCs w:val="22"/>
        </w:rPr>
        <w:t xml:space="preserve">Demir, C. (2018). Hedging and academic writing: An analysis of lexical hedges. Journal of Language and Linguistic Studies, 14(4), 74-92. </w:t>
      </w:r>
      <w:hyperlink r:id="rId27">
        <w:r>
          <w:rPr>
            <w:rStyle w:val="ListLabel1"/>
            <w:color w:val="1155CC"/>
            <w:sz w:val="22"/>
            <w:szCs w:val="22"/>
            <w:u w:val="single"/>
          </w:rPr>
          <w:t>https://files.eric.ed.gov/fulltext/EJ1201945.pdf</w:t>
        </w:r>
      </w:hyperlink>
    </w:p>
    <w:p>
      <w:pPr>
        <w:pStyle w:val="normal1"/>
        <w:spacing w:lineRule="auto" w:line="480" w:before="0" w:after="0"/>
        <w:ind w:hanging="720" w:left="720"/>
        <w:jc w:val="both"/>
        <w:rPr/>
      </w:pPr>
      <w:r>
        <w:rPr>
          <w:sz w:val="22"/>
          <w:szCs w:val="22"/>
        </w:rPr>
        <w:t xml:space="preserve">Escalona, S. L. (2025). Hedges and boosters in college essays: A study of linguistic modulation in student writing. International Journal of English Literature and Social Sciences, 10(1), 7-17. </w:t>
      </w:r>
      <w:hyperlink r:id="rId28">
        <w:r>
          <w:rPr>
            <w:rStyle w:val="ListLabel1"/>
            <w:color w:val="1155CC"/>
            <w:sz w:val="22"/>
            <w:szCs w:val="22"/>
            <w:u w:val="single"/>
          </w:rPr>
          <w:t>https://doi.org/10.22161/ijels.101.2</w:t>
        </w:r>
      </w:hyperlink>
    </w:p>
    <w:p>
      <w:pPr>
        <w:pStyle w:val="normal1"/>
        <w:spacing w:lineRule="auto" w:line="480" w:before="0" w:after="0"/>
        <w:ind w:hanging="720" w:left="720"/>
        <w:jc w:val="both"/>
        <w:rPr/>
      </w:pPr>
      <w:r>
        <w:rPr>
          <w:sz w:val="22"/>
          <w:szCs w:val="22"/>
        </w:rPr>
        <w:t xml:space="preserve">Ghia, E., Petrocelli, E., &amp; Pizziconi, S. (2022). Data possibly suggest… Hedging in second language writing: A study on advanced Italian EFL learners. Belgrade English Language and Literature Studies, 14, 47-72. </w:t>
      </w:r>
      <w:hyperlink r:id="rId29">
        <w:r>
          <w:rPr>
            <w:rStyle w:val="ListLabel1"/>
            <w:color w:val="1155CC"/>
            <w:sz w:val="22"/>
            <w:szCs w:val="22"/>
            <w:u w:val="single"/>
          </w:rPr>
          <w:t>https://doi.org/10.18485/bells.2022.14.2</w:t>
        </w:r>
      </w:hyperlink>
    </w:p>
    <w:p>
      <w:pPr>
        <w:pStyle w:val="normal1"/>
        <w:spacing w:lineRule="auto" w:line="480" w:before="0" w:after="0"/>
        <w:ind w:hanging="720" w:left="720"/>
        <w:jc w:val="both"/>
        <w:rPr/>
      </w:pPr>
      <w:r>
        <w:rPr>
          <w:sz w:val="22"/>
          <w:szCs w:val="22"/>
        </w:rPr>
        <w:t>Gillaerts, P., &amp; Van de Velde, F. (2010). Interactional metadiscourse in research article abstracts. Journal of English for Academic Purposes, 9(2), 128-139. https://doi.org/10.1016/j.jeap.2010.02.004</w:t>
      </w:r>
    </w:p>
    <w:p>
      <w:pPr>
        <w:pStyle w:val="normal1"/>
        <w:spacing w:lineRule="auto" w:line="480" w:before="0" w:after="0"/>
        <w:ind w:hanging="720" w:left="720"/>
        <w:jc w:val="both"/>
        <w:rPr/>
      </w:pPr>
      <w:r>
        <w:rPr>
          <w:sz w:val="22"/>
          <w:szCs w:val="22"/>
        </w:rPr>
        <w:t xml:space="preserve">Hamidi, H., Najafi Sarem, S., &amp; Lotfi, A. H. (2025). Exploring hedging devices in scientific research papers: A content analysis study of the Medical Journal of the Islamic Republic of Iran. </w:t>
      </w:r>
      <w:r>
        <w:rPr>
          <w:i/>
          <w:iCs/>
          <w:sz w:val="22"/>
          <w:szCs w:val="22"/>
        </w:rPr>
        <w:t>Medical Journal of the Islamic Republic of Iran, 39</w:t>
      </w:r>
      <w:r>
        <w:rPr>
          <w:sz w:val="22"/>
          <w:szCs w:val="22"/>
        </w:rPr>
        <w:t xml:space="preserve">, Article 125. </w:t>
      </w:r>
      <w:hyperlink r:id="rId30">
        <w:r>
          <w:rPr>
            <w:rStyle w:val="ListLabel1"/>
            <w:color w:val="1155CC"/>
            <w:sz w:val="22"/>
            <w:szCs w:val="22"/>
            <w:u w:val="single"/>
          </w:rPr>
          <w:t>https://pmc.ncbi.nlm.nih.gov/articles/PMC12584097/</w:t>
        </w:r>
      </w:hyperlink>
    </w:p>
    <w:p>
      <w:pPr>
        <w:pStyle w:val="normal1"/>
        <w:spacing w:lineRule="auto" w:line="480" w:before="0" w:after="0"/>
        <w:ind w:hanging="720" w:left="720"/>
        <w:jc w:val="both"/>
        <w:rPr/>
      </w:pPr>
      <w:r>
        <w:rPr>
          <w:sz w:val="22"/>
          <w:szCs w:val="22"/>
        </w:rPr>
        <w:t xml:space="preserve">Hu, G., &amp; Cao, F. (2011). Hedging and boosting in abstracts of applied linguistics articles: A comparative study of English- and Chinese-medium journals. Journal of Pragmatics, 43(11), 2795-2809. </w:t>
      </w:r>
      <w:hyperlink r:id="rId31">
        <w:r>
          <w:rPr>
            <w:rStyle w:val="ListLabel1"/>
            <w:color w:val="1155CC"/>
            <w:sz w:val="22"/>
            <w:szCs w:val="22"/>
            <w:u w:val="single"/>
          </w:rPr>
          <w:t>https://doi.org/10.1016/j.pragma.2011.04.007</w:t>
        </w:r>
      </w:hyperlink>
    </w:p>
    <w:p>
      <w:pPr>
        <w:pStyle w:val="normal1"/>
        <w:spacing w:lineRule="auto" w:line="480" w:before="0" w:after="0"/>
        <w:ind w:hanging="720" w:left="720"/>
        <w:jc w:val="both"/>
        <w:rPr/>
      </w:pPr>
      <w:r>
        <w:rPr>
          <w:sz w:val="22"/>
          <w:szCs w:val="22"/>
        </w:rPr>
        <w:t xml:space="preserve">Hyland, K. (1996). Writing without conviction? Hedging in science research articles. Applied Linguistics, 17(4), 433-454. </w:t>
      </w:r>
      <w:hyperlink r:id="rId32">
        <w:r>
          <w:rPr>
            <w:rStyle w:val="ListLabel1"/>
            <w:color w:val="1155CC"/>
            <w:sz w:val="22"/>
            <w:szCs w:val="22"/>
            <w:u w:val="single"/>
          </w:rPr>
          <w:t>https://doi.org/10.1093/applin/17.4.433</w:t>
        </w:r>
      </w:hyperlink>
    </w:p>
    <w:p>
      <w:pPr>
        <w:pStyle w:val="normal1"/>
        <w:spacing w:lineRule="auto" w:line="480" w:before="0" w:after="0"/>
        <w:ind w:hanging="720" w:left="720"/>
        <w:jc w:val="both"/>
        <w:rPr/>
      </w:pPr>
      <w:r>
        <w:rPr>
          <w:sz w:val="22"/>
          <w:szCs w:val="22"/>
        </w:rPr>
        <w:t>Hyland, K. (1996b). Talking to the Academy: Forms of hedging in science research articles. Written Communication, 13(2), 251-281. https://doi.org/10.1177/0741088396013002004</w:t>
      </w:r>
    </w:p>
    <w:p>
      <w:pPr>
        <w:pStyle w:val="normal1"/>
        <w:spacing w:lineRule="auto" w:line="480" w:before="0" w:after="0"/>
        <w:ind w:hanging="720" w:left="720"/>
        <w:jc w:val="both"/>
        <w:rPr/>
      </w:pPr>
      <w:r>
        <w:rPr>
          <w:sz w:val="22"/>
          <w:szCs w:val="22"/>
        </w:rPr>
        <w:t xml:space="preserve">Hyland, K. (1998). </w:t>
      </w:r>
      <w:r>
        <w:rPr>
          <w:i/>
          <w:iCs/>
          <w:sz w:val="22"/>
          <w:szCs w:val="22"/>
        </w:rPr>
        <w:t>Hedging in scientific research articles</w:t>
      </w:r>
      <w:r>
        <w:rPr>
          <w:sz w:val="22"/>
          <w:szCs w:val="22"/>
        </w:rPr>
        <w:t>. John Benjamins Publishing.</w:t>
      </w:r>
    </w:p>
    <w:p>
      <w:pPr>
        <w:pStyle w:val="normal1"/>
        <w:spacing w:lineRule="auto" w:line="480" w:before="0" w:after="0"/>
        <w:ind w:hanging="720" w:left="720"/>
        <w:jc w:val="both"/>
        <w:rPr/>
      </w:pPr>
      <w:r>
        <w:rPr>
          <w:sz w:val="22"/>
          <w:szCs w:val="22"/>
        </w:rPr>
        <w:t xml:space="preserve">Hyland, K. (2005). Stance and engagement: A model of interaction in academic discourse. Discourse Studies, 7(2), 173-192. </w:t>
      </w:r>
      <w:hyperlink r:id="rId33">
        <w:r>
          <w:rPr>
            <w:rStyle w:val="ListLabel1"/>
            <w:color w:val="1155CC"/>
            <w:sz w:val="22"/>
            <w:szCs w:val="22"/>
            <w:u w:val="single"/>
          </w:rPr>
          <w:t>https://doi.org/10.1177/1461445605050365</w:t>
        </w:r>
      </w:hyperlink>
    </w:p>
    <w:p>
      <w:pPr>
        <w:pStyle w:val="normal1"/>
        <w:spacing w:lineRule="auto" w:line="480" w:before="0" w:after="0"/>
        <w:ind w:hanging="720" w:left="720"/>
        <w:jc w:val="both"/>
        <w:rPr/>
      </w:pPr>
      <w:r>
        <w:rPr>
          <w:sz w:val="22"/>
          <w:szCs w:val="22"/>
        </w:rPr>
        <w:t xml:space="preserve">Hyland, K., &amp; Milton, J. (1997). Qualification and certainty in L1 and L2 students’ writing. Journal of Second Language Writing, 6(2), 183-205. </w:t>
      </w:r>
      <w:hyperlink r:id="rId34">
        <w:r>
          <w:rPr>
            <w:rStyle w:val="ListLabel1"/>
            <w:color w:val="1155CC"/>
            <w:sz w:val="22"/>
            <w:szCs w:val="22"/>
            <w:u w:val="single"/>
          </w:rPr>
          <w:t>https://doi.org/10.1016/S1060-3743(97)90033-3</w:t>
        </w:r>
      </w:hyperlink>
    </w:p>
    <w:p>
      <w:pPr>
        <w:pStyle w:val="normal1"/>
        <w:spacing w:lineRule="auto" w:line="480" w:before="0" w:after="0"/>
        <w:ind w:hanging="720" w:left="720"/>
        <w:jc w:val="both"/>
        <w:rPr/>
      </w:pPr>
      <w:r>
        <w:rPr>
          <w:sz w:val="22"/>
          <w:szCs w:val="22"/>
        </w:rPr>
        <w:t xml:space="preserve">Imataki, N., &amp; Kobayashi, Y. (2024). Analyzing disciplinary variation in abstracts: Linguistic features across scientific and technical fields. Linguistics and Literature Studies, 12(3), 19-28. </w:t>
      </w:r>
      <w:hyperlink r:id="rId35">
        <w:r>
          <w:rPr>
            <w:rStyle w:val="ListLabel1"/>
            <w:color w:val="1155CC"/>
            <w:sz w:val="22"/>
            <w:szCs w:val="22"/>
            <w:u w:val="single"/>
          </w:rPr>
          <w:t>https://doi.org/10.13189/lls.2024.120301</w:t>
        </w:r>
      </w:hyperlink>
    </w:p>
    <w:p>
      <w:pPr>
        <w:pStyle w:val="normal1"/>
        <w:spacing w:lineRule="auto" w:line="480" w:before="0" w:after="0"/>
        <w:ind w:hanging="720" w:left="720"/>
        <w:jc w:val="both"/>
        <w:rPr/>
      </w:pPr>
      <w:r>
        <w:rPr>
          <w:sz w:val="22"/>
          <w:szCs w:val="22"/>
        </w:rPr>
        <w:t xml:space="preserve">Khunasathitchai, K., Sittironnarit, S., Sinturat, T., &amp; Kumdee, S. (2025). Move analysis and hedge use in the research paper abstracts of Thai EFL English-majored undergraduates. rEFLections, 32(2), 951-973. </w:t>
      </w:r>
      <w:hyperlink r:id="rId36">
        <w:r>
          <w:rPr>
            <w:rStyle w:val="ListLabel1"/>
            <w:color w:val="1155CC"/>
            <w:sz w:val="22"/>
            <w:szCs w:val="22"/>
            <w:u w:val="single"/>
          </w:rPr>
          <w:t>https://doi.org/10.61508/refl.v32i2.282512</w:t>
        </w:r>
      </w:hyperlink>
    </w:p>
    <w:p>
      <w:pPr>
        <w:pStyle w:val="normal1"/>
        <w:spacing w:lineRule="auto" w:line="480" w:before="0" w:after="0"/>
        <w:ind w:hanging="720" w:left="720"/>
        <w:jc w:val="both"/>
        <w:rPr/>
      </w:pPr>
      <w:r>
        <w:rPr>
          <w:sz w:val="22"/>
          <w:szCs w:val="22"/>
        </w:rPr>
        <w:t xml:space="preserve">Landis, J. R., &amp; Koch, G. G. (1977). The measurement of observer agreement for categorical data. Biometrics, 33(1), 159-174. </w:t>
      </w:r>
      <w:hyperlink r:id="rId37">
        <w:r>
          <w:rPr>
            <w:rStyle w:val="ListLabel1"/>
            <w:color w:val="1155CC"/>
            <w:sz w:val="22"/>
            <w:szCs w:val="22"/>
            <w:u w:val="single"/>
          </w:rPr>
          <w:t>https://doi.org/10.2307/2529310</w:t>
        </w:r>
      </w:hyperlink>
    </w:p>
    <w:p>
      <w:pPr>
        <w:pStyle w:val="normal1"/>
        <w:spacing w:lineRule="auto" w:line="480" w:before="0" w:after="0"/>
        <w:ind w:hanging="720" w:left="720"/>
        <w:jc w:val="both"/>
        <w:rPr/>
      </w:pPr>
      <w:r>
        <w:rPr>
          <w:sz w:val="22"/>
          <w:szCs w:val="22"/>
        </w:rPr>
        <w:t xml:space="preserve">Lopez, R. M. C., Pedida, J. A., Alzate, L. J. A., &amp; Eustaquio, M. T. L. (2025). Language of caution and certainty: Writing proficiency in hedges and boosters in student essays. International Journal of Research and Innovation in Social Science, 9(11), 6176-6196. </w:t>
      </w:r>
      <w:hyperlink r:id="rId38">
        <w:r>
          <w:rPr>
            <w:rStyle w:val="ListLabel1"/>
            <w:color w:val="1155CC"/>
            <w:sz w:val="22"/>
            <w:szCs w:val="22"/>
            <w:u w:val="single"/>
          </w:rPr>
          <w:t>https://doi.org/10.47772/IJRISS.2025.91100485</w:t>
        </w:r>
      </w:hyperlink>
    </w:p>
    <w:p>
      <w:pPr>
        <w:pStyle w:val="normal1"/>
        <w:spacing w:lineRule="auto" w:line="480" w:before="0" w:after="0"/>
        <w:ind w:hanging="720" w:left="720"/>
        <w:jc w:val="both"/>
        <w:rPr/>
      </w:pPr>
      <w:r>
        <w:rPr>
          <w:sz w:val="22"/>
          <w:szCs w:val="22"/>
        </w:rPr>
        <w:t xml:space="preserve">Mazidah, E. N., Cahyani, W. I., &amp; Masruroh, L. (2022). Hedges and boosters in undergraduate thesis abstracts of Qomaruddin University students. Journal of Education, Humaniora and Social Sciences (JEHSS), 4(3), 1657-1663. </w:t>
      </w:r>
      <w:hyperlink r:id="rId39">
        <w:r>
          <w:rPr>
            <w:rStyle w:val="ListLabel1"/>
            <w:color w:val="1155CC"/>
            <w:sz w:val="22"/>
            <w:szCs w:val="22"/>
            <w:u w:val="single"/>
          </w:rPr>
          <w:t>https://doi.org/10.34007/jehss.v4i3.925</w:t>
        </w:r>
      </w:hyperlink>
    </w:p>
    <w:p>
      <w:pPr>
        <w:pStyle w:val="normal1"/>
        <w:spacing w:lineRule="auto" w:line="480" w:before="0" w:after="0"/>
        <w:ind w:hanging="720" w:left="720"/>
        <w:jc w:val="both"/>
        <w:rPr/>
      </w:pPr>
      <w:r>
        <w:rPr>
          <w:sz w:val="22"/>
          <w:szCs w:val="22"/>
        </w:rPr>
        <w:t xml:space="preserve">Mohammed, S. J. (2011). </w:t>
      </w:r>
      <w:r>
        <w:rPr>
          <w:i/>
          <w:iCs/>
          <w:sz w:val="22"/>
          <w:szCs w:val="22"/>
        </w:rPr>
        <w:t>Lexical hedges: A study of cultural and disciplinary variation in academic research articles</w:t>
      </w:r>
      <w:r>
        <w:rPr>
          <w:sz w:val="22"/>
          <w:szCs w:val="22"/>
        </w:rPr>
        <w:t xml:space="preserve"> [Master’s thesis, Universiti Teknologi MARA]. CORE. </w:t>
      </w:r>
      <w:hyperlink r:id="rId40">
        <w:r>
          <w:rPr>
            <w:rStyle w:val="ListLabel1"/>
            <w:color w:val="1155CC"/>
            <w:sz w:val="22"/>
            <w:szCs w:val="22"/>
            <w:u w:val="single"/>
          </w:rPr>
          <w:t>https://core.ac.uk/download/78277430.pdf</w:t>
        </w:r>
      </w:hyperlink>
    </w:p>
    <w:p>
      <w:pPr>
        <w:pStyle w:val="normal1"/>
        <w:spacing w:lineRule="auto" w:line="480" w:before="0" w:after="0"/>
        <w:ind w:hanging="720" w:left="720"/>
        <w:jc w:val="both"/>
        <w:rPr/>
      </w:pPr>
      <w:r>
        <w:rPr>
          <w:sz w:val="22"/>
          <w:szCs w:val="22"/>
        </w:rPr>
        <w:t xml:space="preserve">Ningrum, S., Puspita, H., &amp; Mulyadi, A. I. (2024). Hedges and boosters in academic writing of ASEAN EFL learners. Journal of English Education and Teaching, 8(1), 202-218. </w:t>
      </w:r>
      <w:hyperlink r:id="rId41">
        <w:r>
          <w:rPr>
            <w:rStyle w:val="ListLabel1"/>
            <w:color w:val="1155CC"/>
            <w:sz w:val="22"/>
            <w:szCs w:val="22"/>
            <w:u w:val="single"/>
          </w:rPr>
          <w:t>https://doi.org/10.33369/jeet.8.1.202-218</w:t>
        </w:r>
      </w:hyperlink>
    </w:p>
    <w:p>
      <w:pPr>
        <w:pStyle w:val="normal1"/>
        <w:spacing w:lineRule="auto" w:line="480" w:before="0" w:after="0"/>
        <w:ind w:hanging="720" w:left="720"/>
        <w:jc w:val="both"/>
        <w:rPr/>
      </w:pPr>
      <w:r>
        <w:rPr>
          <w:sz w:val="22"/>
          <w:szCs w:val="22"/>
        </w:rPr>
        <w:t xml:space="preserve">Petchkij, W. (2019). Explicit teaching of hedges: Bringing hedging in academic writing into the Thai EFL classroom. Electronic Journal of Foreign Language Teaching, 16(1), 95-113. </w:t>
      </w:r>
      <w:hyperlink r:id="rId42">
        <w:r>
          <w:rPr>
            <w:rStyle w:val="ListLabel1"/>
            <w:color w:val="1155CC"/>
            <w:sz w:val="22"/>
            <w:szCs w:val="22"/>
            <w:u w:val="single"/>
          </w:rPr>
          <w:t>https://e-flt.nus.edu.sg/wp-content/uploads/2020/09/petchkij.pdf</w:t>
        </w:r>
      </w:hyperlink>
    </w:p>
    <w:p>
      <w:pPr>
        <w:pStyle w:val="normal1"/>
        <w:spacing w:lineRule="auto" w:line="480" w:before="0" w:after="0"/>
        <w:ind w:hanging="720" w:left="720"/>
        <w:jc w:val="both"/>
        <w:rPr/>
      </w:pPr>
      <w:r>
        <w:rPr>
          <w:sz w:val="22"/>
          <w:szCs w:val="22"/>
        </w:rPr>
        <w:t>Qiu, X., Wang, Y. (A.), Dartey, E. A., &amp; Kim, M. (2024). Interactional metadiscourse in expert and student disciplinary writing: Exploring intrageneric and functional variation. English for Specific Purposes, 73, 124-140. https://doi.org/10.1016/j.esp.2023.10.007</w:t>
      </w:r>
    </w:p>
    <w:p>
      <w:pPr>
        <w:pStyle w:val="normal1"/>
        <w:spacing w:lineRule="auto" w:line="480" w:before="0" w:after="0"/>
        <w:ind w:hanging="720" w:left="720"/>
        <w:jc w:val="both"/>
        <w:rPr/>
      </w:pPr>
      <w:r>
        <w:rPr>
          <w:sz w:val="22"/>
          <w:szCs w:val="22"/>
        </w:rPr>
        <w:t xml:space="preserve">Salager-Meyer, F. (1994). Hedges and textual communicative function in medical English written discourse. English for Specific Purposes, 13(2), 149-170. </w:t>
      </w:r>
      <w:hyperlink r:id="rId43">
        <w:r>
          <w:rPr>
            <w:rStyle w:val="ListLabel1"/>
            <w:color w:val="1155CC"/>
            <w:sz w:val="22"/>
            <w:szCs w:val="22"/>
            <w:u w:val="single"/>
          </w:rPr>
          <w:t>https://doi.org/10.1016/0889-4906(94)90013-2</w:t>
        </w:r>
      </w:hyperlink>
    </w:p>
    <w:p>
      <w:pPr>
        <w:pStyle w:val="normal1"/>
        <w:spacing w:lineRule="auto" w:line="480" w:before="0" w:after="0"/>
        <w:ind w:hanging="720" w:left="720"/>
        <w:jc w:val="both"/>
        <w:rPr/>
      </w:pPr>
      <w:r>
        <w:rPr>
          <w:sz w:val="22"/>
          <w:szCs w:val="22"/>
        </w:rPr>
        <w:t>Saengsuwan, C., &amp; Suwannatrai, L. (2026). Interactional metadiscourse in Thai EFL student essays: A corpus-based study. Rajapark Journal, 20(68), 138-154.</w:t>
      </w:r>
    </w:p>
    <w:p>
      <w:pPr>
        <w:pStyle w:val="normal1"/>
        <w:spacing w:lineRule="auto" w:line="480" w:before="0" w:after="0"/>
        <w:ind w:hanging="720" w:left="720"/>
        <w:jc w:val="both"/>
        <w:rPr/>
      </w:pPr>
      <w:r>
        <w:rPr>
          <w:sz w:val="22"/>
          <w:szCs w:val="22"/>
        </w:rPr>
        <w:t xml:space="preserve">Souici, F., &amp; Slougui, D. (2022). Hedges in biology research articles: What types and frequency do Algerian authors use? Journal of Human Sciences, 33(4), 49-59. </w:t>
      </w:r>
      <w:hyperlink r:id="rId44">
        <w:r>
          <w:rPr>
            <w:rStyle w:val="ListLabel1"/>
            <w:color w:val="1155CC"/>
            <w:sz w:val="22"/>
            <w:szCs w:val="22"/>
            <w:u w:val="single"/>
          </w:rPr>
          <w:t>https://revue.umc.edu.dz/h/article/view/4015</w:t>
        </w:r>
      </w:hyperlink>
    </w:p>
    <w:p>
      <w:pPr>
        <w:pStyle w:val="normal1"/>
        <w:spacing w:lineRule="auto" w:line="480" w:before="0" w:after="0"/>
        <w:ind w:hanging="720" w:left="720"/>
        <w:jc w:val="both"/>
        <w:rPr/>
      </w:pPr>
      <w:r>
        <w:rPr>
          <w:sz w:val="22"/>
          <w:szCs w:val="22"/>
        </w:rPr>
        <w:t xml:space="preserve">Suratno, A., &amp; Aydawati, E. N. (2025). Hedging strategies in non-science theses: A corpus-based analysis of discussion sections. ETERNAL (English Teaching Journal), 16(1), 37-52. </w:t>
      </w:r>
      <w:hyperlink r:id="rId45">
        <w:r>
          <w:rPr>
            <w:rStyle w:val="ListLabel1"/>
            <w:color w:val="1155CC"/>
            <w:sz w:val="22"/>
            <w:szCs w:val="22"/>
            <w:u w:val="single"/>
          </w:rPr>
          <w:t>https://journal2.upgris.ac.id/index.php/eternal/article/view/1059</w:t>
        </w:r>
      </w:hyperlink>
    </w:p>
    <w:p>
      <w:pPr>
        <w:pStyle w:val="normal1"/>
        <w:spacing w:lineRule="auto" w:line="480" w:before="0" w:after="0"/>
        <w:ind w:hanging="720" w:left="720"/>
        <w:jc w:val="both"/>
        <w:rPr/>
      </w:pPr>
      <w:r>
        <w:rPr>
          <w:sz w:val="22"/>
          <w:szCs w:val="22"/>
        </w:rPr>
        <w:t xml:space="preserve">Villanueva, V. S. (2014). Hedging devices in Philippine newspaper editorials. Asian Journal of English Language Studies, 2, 103-117. </w:t>
      </w:r>
      <w:hyperlink r:id="rId46">
        <w:r>
          <w:rPr>
            <w:rStyle w:val="ListLabel1"/>
            <w:color w:val="1155CC"/>
            <w:sz w:val="22"/>
            <w:szCs w:val="22"/>
            <w:u w:val="single"/>
          </w:rPr>
          <w:t>https://doi.org/10.59960/2.a5</w:t>
        </w:r>
      </w:hyperlink>
    </w:p>
    <w:p>
      <w:pPr>
        <w:pStyle w:val="normal1"/>
        <w:spacing w:lineRule="auto" w:line="480" w:before="0" w:after="0"/>
        <w:ind w:hanging="720" w:left="720"/>
        <w:jc w:val="both"/>
        <w:rPr/>
      </w:pPr>
      <w:r>
        <w:rPr>
          <w:sz w:val="22"/>
          <w:szCs w:val="22"/>
        </w:rPr>
        <w:t xml:space="preserve">Wang, X. (2022). </w:t>
      </w:r>
      <w:r>
        <w:rPr>
          <w:i/>
          <w:iCs/>
          <w:sz w:val="22"/>
          <w:szCs w:val="22"/>
        </w:rPr>
        <w:t>Hedging in academic writing: Cross-disciplinary comparisons in the Michigan Corpus of Upper-Level Student Papers (MICUSP)</w:t>
      </w:r>
      <w:r>
        <w:rPr>
          <w:sz w:val="22"/>
          <w:szCs w:val="22"/>
        </w:rPr>
        <w:t xml:space="preserve"> [Preprint]. OSF Preprints. </w:t>
      </w:r>
      <w:hyperlink r:id="rId47">
        <w:r>
          <w:rPr>
            <w:rStyle w:val="ListLabel1"/>
            <w:color w:val="1155CC"/>
            <w:sz w:val="22"/>
            <w:szCs w:val="22"/>
            <w:u w:val="single"/>
          </w:rPr>
          <w:t>https://osf.io/preprints/edarxiv/5xj27</w:t>
        </w:r>
      </w:hyperlink>
    </w:p>
    <w:p>
      <w:pPr>
        <w:sectPr>
          <w:headerReference w:type="default" r:id="rId48"/>
          <w:headerReference w:type="first" r:id="rId49"/>
          <w:footerReference w:type="default" r:id="rId50"/>
          <w:footerReference w:type="first" r:id="rId51"/>
          <w:type w:val="nextPage"/>
          <w:pgSz w:w="11906" w:h="16838"/>
          <w:pgMar w:left="2160" w:right="1440" w:gutter="0" w:header="720" w:top="1440" w:footer="720" w:bottom="1440"/>
          <w:pgNumType w:fmt="decimal"/>
          <w:formProt w:val="false"/>
          <w:titlePg/>
          <w:textDirection w:val="lrTb"/>
          <w:docGrid w:type="default" w:linePitch="100" w:charSpace="4096"/>
        </w:sectPr>
        <w:pStyle w:val="normal1"/>
        <w:spacing w:lineRule="auto" w:line="480" w:before="0" w:after="0"/>
        <w:ind w:hanging="720" w:left="720"/>
        <w:jc w:val="both"/>
        <w:rPr/>
      </w:pPr>
      <w:r>
        <w:rPr>
          <w:sz w:val="22"/>
          <w:szCs w:val="22"/>
        </w:rPr>
        <w:t>Xie, S., &amp; Mi, C. (2023). Promotion and caution in research article abstracts: The use of positive, negative and hedge words across disciplines and rankings. Learned Publishing, 36(2), 249-265. https://doi.org/10.1002/leap.1515</w:t>
      </w:r>
    </w:p>
    <w:p>
      <w:pPr>
        <w:pStyle w:val="normal1"/>
        <w:keepNext w:val="true"/>
        <w:spacing w:lineRule="auto" w:line="480" w:before="720" w:after="240"/>
        <w:ind w:hanging="0"/>
        <w:jc w:val="center"/>
        <w:rPr/>
      </w:pPr>
      <w:r>
        <w:rPr>
          <w:b/>
          <w:bCs/>
          <w:sz w:val="28"/>
          <w:szCs w:val="28"/>
        </w:rPr>
        <w:t>APPENDICES</w:t>
      </w:r>
    </w:p>
    <w:p>
      <w:pPr>
        <w:pStyle w:val="normal1"/>
        <w:spacing w:lineRule="auto" w:line="480" w:before="0" w:after="40"/>
        <w:jc w:val="left"/>
        <w:rPr>
          <w:b/>
          <w:bCs/>
        </w:rPr>
      </w:pPr>
      <w:r>
        <w:rPr>
          <w:b/>
          <w:bCs/>
        </w:rPr>
      </w:r>
    </w:p>
    <w:p>
      <w:pPr>
        <w:pStyle w:val="normal1"/>
        <w:spacing w:lineRule="auto" w:line="480" w:before="0" w:after="40"/>
        <w:jc w:val="left"/>
        <w:rPr>
          <w:sz w:val="24"/>
          <w:szCs w:val="24"/>
        </w:rPr>
      </w:pPr>
      <w:r>
        <w:rPr>
          <w:b/>
          <w:bCs/>
          <w:sz w:val="24"/>
          <w:szCs w:val="24"/>
        </w:rPr>
        <w:t>APPENDIX A: HEDGING CODEBOOK</w:t>
      </w:r>
    </w:p>
    <w:p>
      <w:pPr>
        <w:pStyle w:val="normal1"/>
        <w:spacing w:lineRule="auto" w:line="480" w:before="0" w:after="20"/>
        <w:ind w:hanging="0" w:left="360"/>
        <w:jc w:val="both"/>
        <w:rPr/>
      </w:pPr>
      <w:r>
        <w:rPr>
          <w:b/>
          <w:bCs/>
        </w:rPr>
        <w:t xml:space="preserve">• Lookup: </w:t>
      </w:r>
      <w:r>
        <w:rPr/>
        <w:t>Quick-Reference + Legend (p. 1-2). Full Codebook from p. 3. Coding sheet columns at end.</w:t>
      </w:r>
    </w:p>
    <w:p>
      <w:pPr>
        <w:pStyle w:val="normal1"/>
        <w:spacing w:lineRule="auto" w:line="480" w:before="120" w:after="20"/>
        <w:jc w:val="left"/>
        <w:rPr>
          <w:sz w:val="24"/>
          <w:szCs w:val="24"/>
        </w:rPr>
      </w:pPr>
      <w:r>
        <w:rPr>
          <w:b/>
          <w:bCs/>
          <w:sz w:val="24"/>
          <w:szCs w:val="24"/>
        </w:rPr>
        <w:t>QUICK-REFERENCE</w:t>
      </w:r>
    </w:p>
    <w:p>
      <w:pPr>
        <w:pStyle w:val="normal1"/>
        <w:spacing w:lineRule="auto" w:line="480" w:before="0" w:after="20"/>
        <w:ind w:hanging="0" w:left="360"/>
        <w:jc w:val="both"/>
        <w:rPr/>
      </w:pPr>
      <w:r>
        <w:rPr>
          <w:b/>
          <w:bCs/>
        </w:rPr>
        <w:t xml:space="preserve">• Context decides. </w:t>
      </w:r>
      <w:r>
        <w:rPr/>
        <w:t>A listed word is a hedge only when it works as one in the sentence.</w:t>
      </w:r>
    </w:p>
    <w:p>
      <w:pPr>
        <w:pStyle w:val="normal1"/>
        <w:spacing w:lineRule="auto" w:line="480" w:before="0" w:after="20"/>
        <w:jc w:val="left"/>
        <w:rPr/>
      </w:pPr>
      <w:r>
        <w:rPr>
          <w:b/>
          <w:bCs/>
        </w:rPr>
        <w:t>Types</w:t>
      </w:r>
    </w:p>
    <w:p>
      <w:pPr>
        <w:pStyle w:val="normal1"/>
        <w:spacing w:lineRule="auto" w:line="480" w:before="0" w:after="20"/>
        <w:ind w:hanging="0" w:left="360"/>
        <w:jc w:val="both"/>
        <w:rPr/>
      </w:pPr>
      <w:r>
        <w:rPr>
          <w:b/>
          <w:bCs/>
        </w:rPr>
        <w:t xml:space="preserve">• Modal: </w:t>
      </w:r>
      <w:r>
        <w:rPr/>
        <w:t>may, might, could, would, should, can (possibility only, not capability or obligation).</w:t>
      </w:r>
    </w:p>
    <w:p>
      <w:pPr>
        <w:pStyle w:val="normal1"/>
        <w:spacing w:lineRule="auto" w:line="480" w:before="0" w:after="20"/>
        <w:ind w:hanging="0" w:left="360"/>
        <w:jc w:val="both"/>
        <w:rPr/>
      </w:pPr>
      <w:r>
        <w:rPr>
          <w:b/>
          <w:bCs/>
        </w:rPr>
        <w:t xml:space="preserve">• Lexical: </w:t>
      </w:r>
      <w:r>
        <w:rPr/>
        <w:t>suggest, indicate, appear, seem, possible, likely, potential (when they qualify a claim and pass Step 2).</w:t>
      </w:r>
    </w:p>
    <w:p>
      <w:pPr>
        <w:pStyle w:val="normal1"/>
        <w:spacing w:lineRule="auto" w:line="480" w:before="0" w:after="20"/>
        <w:ind w:hanging="0" w:left="360"/>
        <w:jc w:val="both"/>
        <w:rPr/>
      </w:pPr>
      <w:r>
        <w:rPr>
          <w:b/>
          <w:bCs/>
        </w:rPr>
        <w:t xml:space="preserve">• Adverbial: </w:t>
      </w:r>
      <w:r>
        <w:rPr/>
        <w:t>generally, typically, possibly, probably (scope or certainty, not procedural routine).</w:t>
      </w:r>
    </w:p>
    <w:p>
      <w:pPr>
        <w:pStyle w:val="normal1"/>
        <w:spacing w:lineRule="auto" w:line="480" w:before="0" w:after="20"/>
        <w:ind w:hanging="0" w:left="360"/>
        <w:jc w:val="both"/>
        <w:rPr/>
      </w:pPr>
      <w:r>
        <w:rPr>
          <w:b/>
          <w:bCs/>
        </w:rPr>
        <w:t xml:space="preserve">• Clause-level: </w:t>
      </w:r>
      <w:r>
        <w:rPr/>
        <w:t>it seems that, it is possible that, to some extent.</w:t>
      </w:r>
    </w:p>
    <w:p>
      <w:pPr>
        <w:pStyle w:val="normal1"/>
        <w:spacing w:lineRule="auto" w:line="480" w:before="0" w:after="20"/>
        <w:ind w:hanging="0"/>
        <w:jc w:val="both"/>
        <w:rPr/>
      </w:pPr>
      <w:r>
        <w:rPr/>
        <w:t>Functions: EC = uncertainty about a claim’s truth. P = interpersonal softening of a claim. FP = fails the claim condition or both checks.</w:t>
      </w:r>
    </w:p>
    <w:p>
      <w:pPr>
        <w:pStyle w:val="normal1"/>
        <w:spacing w:lineRule="auto" w:line="480" w:before="0" w:after="20"/>
        <w:jc w:val="both"/>
        <w:rPr/>
      </w:pPr>
      <w:r>
        <w:rPr>
          <w:rFonts w:eastAsia="Cardo" w:cs="Cardo" w:ascii="Cardo" w:hAnsi="Cardo"/>
        </w:rPr>
        <w:t>Core rules: suggest/indicate finding→hedge, recommendation→FP-Rec, can/may possibility→hedge, capability→FP-Cap, generally/typically claim-limit→hedge, procedural→FP-Proc, appear/seem result-uncertainty→hedge, location→FP-Gen.</w:t>
      </w:r>
    </w:p>
    <w:p>
      <w:pPr>
        <w:pStyle w:val="normal1"/>
        <w:spacing w:lineRule="auto" w:line="480" w:before="0" w:after="20"/>
        <w:jc w:val="both"/>
        <w:rPr/>
      </w:pPr>
      <w:r>
        <w:rPr>
          <w:rFonts w:eastAsia="Cardo" w:cs="Cardo" w:ascii="Cardo" w:hAnsi="Cardo"/>
        </w:rPr>
        <w:t>Steps 1-3: Step 1 wide-net candidates. Step 2 = claim condition, then Working Test + Reader Test → EC, P, or FP. Step 3 = type on retained P and EC.</w:t>
      </w:r>
      <w:r>
        <w:br w:type="page"/>
      </w:r>
    </w:p>
    <w:p>
      <w:pPr>
        <w:pStyle w:val="normal1"/>
        <w:spacing w:lineRule="auto" w:line="480" w:before="120" w:after="20"/>
        <w:jc w:val="left"/>
        <w:rPr>
          <w:sz w:val="24"/>
          <w:szCs w:val="24"/>
        </w:rPr>
      </w:pPr>
      <w:r>
        <w:rPr>
          <w:b/>
          <w:bCs/>
          <w:sz w:val="24"/>
          <w:szCs w:val="24"/>
        </w:rPr>
        <w:t>QUICK-REFERENCE LEGEND</w:t>
      </w:r>
    </w:p>
    <w:p>
      <w:pPr>
        <w:pStyle w:val="normal1"/>
        <w:spacing w:lineRule="auto" w:line="480" w:before="0" w:after="20"/>
        <w:ind w:hanging="0" w:left="360"/>
        <w:jc w:val="both"/>
        <w:rPr/>
      </w:pPr>
      <w:r>
        <w:rPr>
          <w:b/>
          <w:bCs/>
        </w:rPr>
        <w:t xml:space="preserve">• Highlights = type background on the token. </w:t>
      </w:r>
      <w:r>
        <w:rPr/>
        <w:t>Colored text labels = function. Grey = unhedged verb. Strike + grey code = FP.</w:t>
      </w:r>
    </w:p>
    <w:tbl>
      <w:tblPr>
        <w:tblStyle w:val="Table8"/>
        <w:tblW w:w="8306" w:type="dxa"/>
        <w:jc w:val="left"/>
        <w:tblInd w:w="-40" w:type="dxa"/>
        <w:tblLayout w:type="fixed"/>
        <w:tblCellMar>
          <w:top w:w="0" w:type="dxa"/>
          <w:left w:w="108" w:type="dxa"/>
          <w:bottom w:w="0" w:type="dxa"/>
          <w:right w:w="108" w:type="dxa"/>
        </w:tblCellMar>
        <w:tblLook w:val="0400"/>
      </w:tblPr>
      <w:tblGrid>
        <w:gridCol w:w="4153"/>
        <w:gridCol w:w="4152"/>
      </w:tblGrid>
      <w:tr>
        <w:trPr>
          <w:tblHeader w:val="true"/>
          <w:cantSplit w:val="true"/>
        </w:trPr>
        <w:tc>
          <w:tcPr>
            <w:tcW w:w="4153" w:type="dxa"/>
            <w:tcBorders>
              <w:top w:val="single" w:sz="18" w:space="0" w:color="000000"/>
              <w:bottom w:val="single" w:sz="4" w:space="0" w:color="000000"/>
            </w:tcBorders>
            <w:shd w:fill="F2F4F6" w:val="clear"/>
          </w:tcPr>
          <w:p>
            <w:pPr>
              <w:pStyle w:val="normal1"/>
              <w:keepNext w:val="true"/>
              <w:spacing w:lineRule="auto" w:line="480" w:before="0" w:after="0"/>
              <w:jc w:val="both"/>
              <w:rPr>
                <w:sz w:val="18"/>
                <w:szCs w:val="18"/>
              </w:rPr>
            </w:pPr>
            <w:r>
              <w:rPr>
                <w:b/>
                <w:bCs/>
                <w:sz w:val="18"/>
                <w:szCs w:val="18"/>
              </w:rPr>
              <w:t>TYPE (Highlight)</w:t>
            </w:r>
          </w:p>
        </w:tc>
        <w:tc>
          <w:tcPr>
            <w:tcW w:w="4152" w:type="dxa"/>
            <w:tcBorders>
              <w:top w:val="single" w:sz="18" w:space="0" w:color="000000"/>
              <w:bottom w:val="single" w:sz="4" w:space="0" w:color="000000"/>
            </w:tcBorders>
            <w:shd w:fill="F2F4F6" w:val="clear"/>
          </w:tcPr>
          <w:p>
            <w:pPr>
              <w:pStyle w:val="normal1"/>
              <w:keepNext w:val="true"/>
              <w:spacing w:lineRule="auto" w:line="480" w:before="0" w:after="0"/>
              <w:jc w:val="both"/>
              <w:rPr>
                <w:sz w:val="18"/>
                <w:szCs w:val="18"/>
              </w:rPr>
            </w:pPr>
            <w:r>
              <w:rPr>
                <w:b/>
                <w:bCs/>
                <w:sz w:val="18"/>
                <w:szCs w:val="18"/>
              </w:rPr>
              <w:t>FUNCTION (Text)</w:t>
            </w:r>
          </w:p>
        </w:tc>
      </w:tr>
      <w:tr>
        <w:trPr>
          <w:cantSplit w:val="true"/>
        </w:trPr>
        <w:tc>
          <w:tcPr>
            <w:tcW w:w="4153" w:type="dxa"/>
            <w:tcBorders/>
          </w:tcPr>
          <w:p>
            <w:pPr>
              <w:pStyle w:val="normal1"/>
              <w:keepNext w:val="true"/>
              <w:spacing w:lineRule="auto" w:line="480" w:before="0" w:after="0"/>
              <w:jc w:val="both"/>
              <w:rPr>
                <w:sz w:val="18"/>
                <w:szCs w:val="18"/>
              </w:rPr>
            </w:pPr>
            <w:r>
              <w:rPr>
                <w:sz w:val="18"/>
                <w:szCs w:val="18"/>
                <w:shd w:fill="00B0F0" w:val="clear"/>
              </w:rPr>
              <w:t>      </w:t>
            </w:r>
            <w:r>
              <w:rPr>
                <w:i w:val="false"/>
                <w:iCs w:val="false"/>
                <w:color w:val="000000"/>
                <w:sz w:val="18"/>
                <w:szCs w:val="18"/>
              </w:rPr>
              <w:t xml:space="preserve">  Modal Verbs</w:t>
            </w:r>
          </w:p>
          <w:p>
            <w:pPr>
              <w:pStyle w:val="normal1"/>
              <w:keepNext w:val="true"/>
              <w:spacing w:lineRule="auto" w:line="480" w:before="0" w:after="0"/>
              <w:jc w:val="both"/>
              <w:rPr>
                <w:sz w:val="18"/>
                <w:szCs w:val="18"/>
              </w:rPr>
            </w:pPr>
            <w:r>
              <w:rPr>
                <w:sz w:val="18"/>
                <w:szCs w:val="18"/>
                <w:highlight w:val="red"/>
              </w:rPr>
              <w:t>      </w:t>
            </w:r>
            <w:r>
              <w:rPr>
                <w:i w:val="false"/>
                <w:iCs w:val="false"/>
                <w:color w:val="000000"/>
                <w:sz w:val="18"/>
                <w:szCs w:val="18"/>
              </w:rPr>
              <w:t xml:space="preserve">  Lexical Hedges</w:t>
            </w:r>
          </w:p>
          <w:p>
            <w:pPr>
              <w:pStyle w:val="normal1"/>
              <w:keepNext w:val="true"/>
              <w:spacing w:lineRule="auto" w:line="480" w:before="0" w:after="0"/>
              <w:jc w:val="both"/>
              <w:rPr>
                <w:sz w:val="18"/>
                <w:szCs w:val="18"/>
              </w:rPr>
            </w:pPr>
            <w:r>
              <w:rPr>
                <w:sz w:val="18"/>
                <w:szCs w:val="18"/>
                <w:highlight w:val="yellow"/>
              </w:rPr>
              <w:t>      </w:t>
            </w:r>
            <w:r>
              <w:rPr>
                <w:i w:val="false"/>
                <w:iCs w:val="false"/>
                <w:color w:val="000000"/>
                <w:sz w:val="18"/>
                <w:szCs w:val="18"/>
              </w:rPr>
              <w:t xml:space="preserve">  Adverbial Hedges</w:t>
            </w:r>
          </w:p>
          <w:p>
            <w:pPr>
              <w:pStyle w:val="normal1"/>
              <w:keepNext w:val="true"/>
              <w:spacing w:lineRule="auto" w:line="480" w:before="0" w:after="0"/>
              <w:jc w:val="both"/>
              <w:rPr>
                <w:sz w:val="18"/>
                <w:szCs w:val="18"/>
              </w:rPr>
            </w:pPr>
            <w:r>
              <w:rPr>
                <w:sz w:val="18"/>
                <w:szCs w:val="18"/>
                <w:shd w:fill="00B050" w:val="clear"/>
              </w:rPr>
              <w:t>      </w:t>
            </w:r>
            <w:r>
              <w:rPr>
                <w:i w:val="false"/>
                <w:iCs w:val="false"/>
                <w:color w:val="000000"/>
                <w:sz w:val="18"/>
                <w:szCs w:val="18"/>
              </w:rPr>
              <w:t xml:space="preserve">  Clause-Level Hedges</w:t>
            </w:r>
          </w:p>
        </w:tc>
        <w:tc>
          <w:tcPr>
            <w:tcW w:w="4152" w:type="dxa"/>
            <w:tcBorders/>
          </w:tcPr>
          <w:p>
            <w:pPr>
              <w:pStyle w:val="normal1"/>
              <w:keepNext w:val="true"/>
              <w:spacing w:lineRule="auto" w:line="480" w:before="0" w:after="0"/>
              <w:jc w:val="both"/>
              <w:rPr>
                <w:sz w:val="18"/>
                <w:szCs w:val="18"/>
              </w:rPr>
            </w:pPr>
            <w:r>
              <w:rPr>
                <w:i w:val="false"/>
                <w:iCs w:val="false"/>
                <w:color w:val="ED7D31"/>
                <w:sz w:val="18"/>
                <w:szCs w:val="18"/>
              </w:rPr>
              <w:t>EC</w:t>
            </w:r>
            <w:r>
              <w:rPr>
                <w:i w:val="false"/>
                <w:iCs w:val="false"/>
                <w:color w:val="000000"/>
                <w:sz w:val="18"/>
                <w:szCs w:val="18"/>
              </w:rPr>
              <w:t xml:space="preserve">  Epistemic Caution</w:t>
            </w:r>
          </w:p>
          <w:p>
            <w:pPr>
              <w:pStyle w:val="normal1"/>
              <w:keepNext w:val="true"/>
              <w:spacing w:lineRule="auto" w:line="480" w:before="0" w:after="0"/>
              <w:jc w:val="both"/>
              <w:rPr>
                <w:sz w:val="18"/>
                <w:szCs w:val="18"/>
              </w:rPr>
            </w:pPr>
            <w:r>
              <w:rPr>
                <w:i w:val="false"/>
                <w:iCs w:val="false"/>
                <w:color w:val="7030A0"/>
                <w:sz w:val="18"/>
                <w:szCs w:val="18"/>
              </w:rPr>
              <w:t>P</w:t>
            </w:r>
            <w:r>
              <w:rPr>
                <w:i w:val="false"/>
                <w:iCs w:val="false"/>
                <w:color w:val="000000"/>
                <w:sz w:val="18"/>
                <w:szCs w:val="18"/>
              </w:rPr>
              <w:t xml:space="preserve">  Politeness / Deference</w:t>
            </w:r>
          </w:p>
          <w:p>
            <w:pPr>
              <w:pStyle w:val="normal1"/>
              <w:keepNext w:val="true"/>
              <w:spacing w:lineRule="auto" w:line="480" w:before="0" w:after="0"/>
              <w:jc w:val="both"/>
              <w:rPr>
                <w:sz w:val="18"/>
                <w:szCs w:val="18"/>
              </w:rPr>
            </w:pPr>
            <w:r>
              <w:rPr>
                <w:sz w:val="18"/>
                <w:szCs w:val="18"/>
              </w:rPr>
            </w:r>
          </w:p>
        </w:tc>
      </w:tr>
      <w:tr>
        <w:trPr>
          <w:cantSplit w:val="true"/>
        </w:trPr>
        <w:tc>
          <w:tcPr>
            <w:tcW w:w="4153" w:type="dxa"/>
            <w:tcBorders>
              <w:bottom w:val="single" w:sz="18" w:space="0" w:color="000000"/>
            </w:tcBorders>
          </w:tcPr>
          <w:p>
            <w:pPr>
              <w:pStyle w:val="normal1"/>
              <w:spacing w:lineRule="auto" w:line="480" w:before="0" w:after="0"/>
              <w:jc w:val="left"/>
              <w:rPr>
                <w:sz w:val="18"/>
                <w:szCs w:val="18"/>
              </w:rPr>
            </w:pPr>
            <w:r>
              <w:rPr>
                <w:b/>
                <w:bCs/>
                <w:i w:val="false"/>
                <w:iCs w:val="false"/>
                <w:color w:val="000000"/>
                <w:sz w:val="18"/>
                <w:szCs w:val="18"/>
              </w:rPr>
              <w:t>UNHEDGED ASSERTIONS (Grey Highlight, Optional)</w:t>
            </w:r>
          </w:p>
          <w:p>
            <w:pPr>
              <w:pStyle w:val="normal1"/>
              <w:keepNext w:val="true"/>
              <w:spacing w:lineRule="auto" w:line="480" w:before="0" w:after="0"/>
              <w:jc w:val="both"/>
              <w:rPr>
                <w:sz w:val="18"/>
                <w:szCs w:val="18"/>
              </w:rPr>
            </w:pPr>
            <w:r>
              <w:rPr>
                <w:sz w:val="18"/>
                <w:szCs w:val="18"/>
              </w:rPr>
              <w:t>R = Result, G = Generalization, C = Causal. Bracket the subtype beside the mark.</w:t>
            </w:r>
          </w:p>
        </w:tc>
        <w:tc>
          <w:tcPr>
            <w:tcW w:w="4152" w:type="dxa"/>
            <w:tcBorders>
              <w:bottom w:val="single" w:sz="18" w:space="0" w:color="000000"/>
            </w:tcBorders>
          </w:tcPr>
          <w:p>
            <w:pPr>
              <w:pStyle w:val="normal1"/>
              <w:keepNext w:val="true"/>
              <w:spacing w:lineRule="auto" w:line="480" w:before="0" w:after="0"/>
              <w:jc w:val="left"/>
              <w:rPr>
                <w:sz w:val="18"/>
                <w:szCs w:val="18"/>
              </w:rPr>
            </w:pPr>
            <w:r>
              <w:rPr>
                <w:b/>
                <w:bCs/>
                <w:i w:val="false"/>
                <w:iCs w:val="false"/>
                <w:color w:val="000000"/>
                <w:sz w:val="18"/>
                <w:szCs w:val="18"/>
              </w:rPr>
              <w:t>FALSE POSITIVE (Strikethrough)</w:t>
            </w:r>
          </w:p>
          <w:p>
            <w:pPr>
              <w:pStyle w:val="normal1"/>
              <w:keepNext w:val="true"/>
              <w:spacing w:lineRule="auto" w:line="480" w:before="0" w:after="0"/>
              <w:jc w:val="both"/>
              <w:rPr>
                <w:sz w:val="18"/>
                <w:szCs w:val="18"/>
              </w:rPr>
            </w:pPr>
            <w:r>
              <w:rPr>
                <w:sz w:val="18"/>
                <w:szCs w:val="18"/>
              </w:rPr>
              <w:t>No highlight. Strike through the token and write the reason code in grey text.</w:t>
            </w:r>
          </w:p>
        </w:tc>
      </w:tr>
    </w:tbl>
    <w:p>
      <w:pPr>
        <w:pStyle w:val="normal1"/>
        <w:keepNext w:val="true"/>
        <w:spacing w:lineRule="auto" w:line="480" w:before="60" w:after="20"/>
        <w:jc w:val="left"/>
        <w:rPr>
          <w:b/>
          <w:bCs/>
        </w:rPr>
      </w:pPr>
      <w:r>
        <w:rPr>
          <w:b/>
          <w:bCs/>
        </w:rPr>
      </w:r>
    </w:p>
    <w:p>
      <w:pPr>
        <w:pStyle w:val="normal1"/>
        <w:keepNext w:val="true"/>
        <w:spacing w:lineRule="auto" w:line="480" w:before="60" w:after="20"/>
        <w:jc w:val="left"/>
        <w:rPr/>
      </w:pPr>
      <w:r>
        <w:rPr>
          <w:b/>
          <w:bCs/>
        </w:rPr>
        <w:t>COMBINED EXAMPLE</w:t>
      </w:r>
    </w:p>
    <w:p>
      <w:pPr>
        <w:pStyle w:val="normal1"/>
        <w:keepNext w:val="true"/>
        <w:spacing w:lineRule="auto" w:line="480" w:before="0" w:after="20"/>
        <w:jc w:val="both"/>
        <w:rPr/>
      </w:pPr>
      <w:r>
        <w:rPr/>
        <w:t xml:space="preserve">“The results </w:t>
      </w:r>
      <w:r>
        <w:rPr>
          <w:shd w:fill="FF9999" w:val="clear"/>
        </w:rPr>
        <w:t>suggested</w:t>
      </w:r>
      <w:r>
        <w:rPr/>
        <w:t xml:space="preserve"> (Lexical, </w:t>
      </w:r>
      <w:r>
        <w:rPr>
          <w:color w:val="ED7D31"/>
        </w:rPr>
        <w:t>EC</w:t>
      </w:r>
      <w:r>
        <w:rPr/>
        <w:t xml:space="preserve">) that extracts are </w:t>
      </w:r>
      <w:r>
        <w:rPr>
          <w:shd w:fill="FF9999" w:val="clear"/>
        </w:rPr>
        <w:t>potential</w:t>
      </w:r>
      <w:r>
        <w:rPr/>
        <w:t xml:space="preserve"> (Lexical, </w:t>
      </w:r>
      <w:r>
        <w:rPr>
          <w:color w:val="ED7D31"/>
        </w:rPr>
        <w:t>EC</w:t>
      </w:r>
      <w:r>
        <w:rPr/>
        <w:t xml:space="preserve">) alternative stains. As prior studies </w:t>
      </w:r>
      <w:r>
        <w:rPr>
          <w:shd w:fill="FF9999" w:val="clear"/>
        </w:rPr>
        <w:t>indicated</w:t>
      </w:r>
      <w:r>
        <w:rPr/>
        <w:t xml:space="preserve"> (Lexical, </w:t>
      </w:r>
      <w:r>
        <w:rPr>
          <w:color w:val="7030A0"/>
        </w:rPr>
        <w:t>P</w:t>
      </w:r>
      <w:r>
        <w:rPr/>
        <w:t xml:space="preserve">), PCR </w:t>
      </w:r>
      <w:r>
        <w:rPr>
          <w:strike/>
        </w:rPr>
        <w:t>can</w:t>
      </w:r>
      <w:r>
        <w:rPr/>
        <w:t xml:space="preserve"> </w:t>
      </w:r>
      <w:r>
        <w:rPr>
          <w:color w:val="808080"/>
        </w:rPr>
        <w:t>(FP-Cap)</w:t>
      </w:r>
      <w:r>
        <w:rPr/>
        <w:t xml:space="preserve"> also detect low concentrations. Farmers </w:t>
      </w:r>
      <w:r>
        <w:rPr>
          <w:strike/>
        </w:rPr>
        <w:t>should</w:t>
      </w:r>
      <w:r>
        <w:rPr/>
        <w:t xml:space="preserve"> </w:t>
      </w:r>
      <w:r>
        <w:rPr>
          <w:color w:val="808080"/>
        </w:rPr>
        <w:t>(FP-Rec)</w:t>
      </w:r>
      <w:r>
        <w:rPr/>
        <w:t xml:space="preserve"> adopt the treatment. In conclusion, T3 produced the highest yield </w:t>
      </w:r>
      <w:r>
        <w:rPr>
          <w:color w:val="808080"/>
        </w:rPr>
        <w:t>(FP framing)</w:t>
      </w:r>
      <w:r>
        <w:rPr/>
        <w:t xml:space="preserve">. The treatment </w:t>
      </w:r>
      <w:r>
        <w:rPr>
          <w:shd w:fill="00B0F0" w:val="clear"/>
        </w:rPr>
        <w:t>may</w:t>
      </w:r>
      <w:r>
        <w:rPr/>
        <w:t xml:space="preserve"> (Modal, </w:t>
      </w:r>
      <w:r>
        <w:rPr>
          <w:color w:val="ED7D31"/>
        </w:rPr>
        <w:t>EC</w:t>
      </w:r>
      <w:r>
        <w:rPr/>
        <w:t>) reduce infection rates.”</w:t>
      </w:r>
    </w:p>
    <w:p>
      <w:pPr>
        <w:pStyle w:val="normal1"/>
        <w:keepNext w:val="true"/>
        <w:spacing w:lineRule="auto" w:line="480" w:before="0" w:after="40"/>
        <w:jc w:val="both"/>
        <w:rPr>
          <w:i/>
          <w:i/>
          <w:iCs/>
        </w:rPr>
      </w:pPr>
      <w:r>
        <w:rPr>
          <w:b/>
          <w:bCs/>
          <w:color w:val="404040"/>
        </w:rPr>
        <w:t>Shows:</w:t>
      </w:r>
      <w:r>
        <w:rPr>
          <w:color w:val="404040"/>
        </w:rPr>
        <w:t xml:space="preserve"> </w:t>
      </w:r>
      <w:r>
        <w:rPr>
          <w:i/>
          <w:iCs/>
          <w:color w:val="404040"/>
        </w:rPr>
        <w:t>Lexical+Modal types. EC and P functions. FP-Cap, FP-Rec, and framing FP. Type = highlight on the token, function = colored label (EC/P). FP = strike + reason code. Not every abstract will contain P, the P slot is illustrated for coding practice.</w:t>
      </w:r>
    </w:p>
    <w:p>
      <w:pPr>
        <w:pStyle w:val="normal1"/>
        <w:pageBreakBefore w:val="false"/>
        <w:spacing w:lineRule="auto" w:line="480" w:before="0" w:after="0"/>
        <w:jc w:val="left"/>
        <w:rPr>
          <w:sz w:val="24"/>
          <w:szCs w:val="24"/>
        </w:rPr>
      </w:pPr>
      <w:r>
        <w:rPr>
          <w:b/>
          <w:bCs/>
          <w:sz w:val="24"/>
          <w:szCs w:val="24"/>
        </w:rPr>
        <w:t>FULL CODEBOOK</w:t>
      </w:r>
    </w:p>
    <w:p>
      <w:pPr>
        <w:pStyle w:val="normal1"/>
        <w:keepNext w:val="true"/>
        <w:spacing w:lineRule="auto" w:line="480" w:before="200" w:after="40"/>
        <w:ind w:hanging="0"/>
        <w:jc w:val="left"/>
        <w:rPr>
          <w:sz w:val="24"/>
          <w:szCs w:val="24"/>
        </w:rPr>
      </w:pPr>
      <w:r>
        <w:rPr>
          <w:b/>
          <w:bCs/>
          <w:sz w:val="24"/>
          <w:szCs w:val="24"/>
        </w:rPr>
        <w:t>PURPOSE</w:t>
      </w:r>
    </w:p>
    <w:p>
      <w:pPr>
        <w:pStyle w:val="normal1"/>
        <w:spacing w:lineRule="auto" w:line="480" w:before="0" w:after="40"/>
        <w:ind w:hanging="0"/>
        <w:jc w:val="left"/>
        <w:rPr/>
      </w:pPr>
      <w:r>
        <w:rPr>
          <w:b/>
          <w:bCs/>
          <w:sz w:val="22"/>
          <w:szCs w:val="22"/>
        </w:rPr>
        <w:t xml:space="preserve">• Purpose. </w:t>
      </w:r>
      <w:r>
        <w:rPr>
          <w:sz w:val="22"/>
          <w:szCs w:val="22"/>
        </w:rPr>
        <w:t>Coding scheme for the PSAU undergraduate thesis abstract corpus, adapted from Hyland (1998) for type.</w:t>
      </w:r>
    </w:p>
    <w:p>
      <w:pPr>
        <w:pStyle w:val="normal1"/>
        <w:keepNext w:val="true"/>
        <w:spacing w:lineRule="auto" w:line="480" w:before="200" w:after="40"/>
        <w:ind w:hanging="0"/>
        <w:jc w:val="left"/>
        <w:rPr>
          <w:sz w:val="24"/>
          <w:szCs w:val="24"/>
        </w:rPr>
      </w:pPr>
      <w:r>
        <w:rPr>
          <w:b/>
          <w:bCs/>
          <w:sz w:val="24"/>
          <w:szCs w:val="24"/>
        </w:rPr>
        <w:t>STEPS 1-3</w:t>
      </w:r>
    </w:p>
    <w:p>
      <w:pPr>
        <w:pStyle w:val="normal1"/>
        <w:spacing w:lineRule="auto" w:line="480" w:before="0" w:after="40"/>
        <w:ind w:hanging="0"/>
        <w:jc w:val="left"/>
        <w:rPr/>
      </w:pPr>
      <w:r>
        <w:rPr>
          <w:b/>
          <w:bCs/>
          <w:sz w:val="22"/>
          <w:szCs w:val="22"/>
        </w:rPr>
        <w:t xml:space="preserve">• Step 1. </w:t>
      </w:r>
      <w:r>
        <w:rPr>
          <w:sz w:val="22"/>
          <w:szCs w:val="22"/>
        </w:rPr>
        <w:t>After a full read, mark all possible hedge candidates (wide net). Do not count retained hedges yet.</w:t>
      </w:r>
    </w:p>
    <w:p>
      <w:pPr>
        <w:pStyle w:val="normal1"/>
        <w:spacing w:lineRule="auto" w:line="480" w:before="0" w:after="40"/>
        <w:ind w:hanging="0"/>
        <w:jc w:val="left"/>
        <w:rPr/>
      </w:pPr>
      <w:r>
        <w:rPr>
          <w:b/>
          <w:bCs/>
          <w:sz w:val="22"/>
          <w:szCs w:val="22"/>
        </w:rPr>
        <w:t xml:space="preserve">• Step 2. </w:t>
      </w:r>
      <w:r>
        <w:rPr>
          <w:sz w:val="22"/>
          <w:szCs w:val="22"/>
        </w:rPr>
        <w:t xml:space="preserve">Claim condition: the device must attach to a claim (a statement about data, the world, or prior work that evidence could show to be wrong). Aims, directives, and routine </w:t>
      </w:r>
      <w:r>
        <w:rPr/>
        <w:t>procedures</w:t>
      </w:r>
      <w:r>
        <w:rPr>
          <w:rFonts w:eastAsia="Cardo" w:cs="Cardo" w:ascii="Cardo" w:hAnsi="Cardo"/>
          <w:sz w:val="22"/>
          <w:szCs w:val="22"/>
        </w:rPr>
        <w:t xml:space="preserve"> are excluded by kind. If not a claim, log FP with a reason code. Working Test: remove the device. If commitment to the claim’s truth rises → EC. Reader Test: remove the device. If truth commitment stays the same but the claim is blunter to the reader or the writer takes sole ownership against prior work → P. Neither → FP. </w:t>
      </w:r>
    </w:p>
    <w:p>
      <w:pPr>
        <w:pStyle w:val="normal1"/>
        <w:spacing w:lineRule="auto" w:line="480" w:before="0" w:after="40"/>
        <w:ind w:hanging="0"/>
        <w:jc w:val="left"/>
        <w:rPr/>
      </w:pPr>
      <w:r>
        <w:rPr>
          <w:b/>
          <w:bCs/>
          <w:sz w:val="22"/>
          <w:szCs w:val="22"/>
        </w:rPr>
        <w:t xml:space="preserve">• Step 3. </w:t>
      </w:r>
      <w:r>
        <w:rPr>
          <w:sz w:val="22"/>
          <w:szCs w:val="22"/>
        </w:rPr>
        <w:t>On retained EC and P tokens, assign type (modal, lexical, adverbial, clause-level).</w:t>
      </w:r>
    </w:p>
    <w:p>
      <w:pPr>
        <w:pStyle w:val="normal1"/>
        <w:spacing w:lineRule="auto" w:line="480" w:before="0" w:after="40"/>
        <w:ind w:hanging="0"/>
        <w:jc w:val="left"/>
        <w:rPr/>
      </w:pPr>
      <w:r>
        <w:rPr>
          <w:b/>
          <w:bCs/>
          <w:sz w:val="22"/>
          <w:szCs w:val="22"/>
        </w:rPr>
        <w:t xml:space="preserve">• Order. </w:t>
      </w:r>
      <w:r>
        <w:rPr>
          <w:rFonts w:eastAsia="Cardo" w:cs="Cardo" w:ascii="Cardo" w:hAnsi="Cardo"/>
          <w:sz w:val="22"/>
          <w:szCs w:val="22"/>
        </w:rPr>
        <w:t>Full abstract → Step 1 → Step 2 (claim condition, then Working Test and Reader Test) → reason codes on rejects → Step 3 type → Coder Notes.</w:t>
      </w:r>
    </w:p>
    <w:p>
      <w:pPr>
        <w:pStyle w:val="normal1"/>
        <w:keepNext w:val="true"/>
        <w:spacing w:lineRule="auto" w:line="480" w:before="200" w:after="40"/>
        <w:ind w:hanging="0"/>
        <w:jc w:val="left"/>
        <w:rPr>
          <w:sz w:val="24"/>
          <w:szCs w:val="24"/>
        </w:rPr>
      </w:pPr>
      <w:r>
        <w:rPr>
          <w:b/>
          <w:bCs/>
          <w:sz w:val="24"/>
          <w:szCs w:val="24"/>
        </w:rPr>
        <w:t>WORKING EXAMPLES</w:t>
      </w:r>
    </w:p>
    <w:p>
      <w:pPr>
        <w:pStyle w:val="normal1"/>
        <w:spacing w:lineRule="auto" w:line="480" w:before="0" w:after="40"/>
        <w:ind w:hanging="0"/>
        <w:jc w:val="left"/>
        <w:rPr/>
      </w:pPr>
      <w:r>
        <w:rPr>
          <w:b/>
          <w:bCs/>
          <w:sz w:val="22"/>
          <w:szCs w:val="22"/>
        </w:rPr>
        <w:t xml:space="preserve">• EC: </w:t>
      </w:r>
      <w:r>
        <w:rPr>
          <w:sz w:val="22"/>
          <w:szCs w:val="22"/>
        </w:rPr>
        <w:t xml:space="preserve">“The treatment may reduce infection rates.” Removing may </w:t>
      </w:r>
      <w:r>
        <w:rPr/>
        <w:t>raise</w:t>
      </w:r>
      <w:r>
        <w:rPr>
          <w:rFonts w:eastAsia="Cardo" w:cs="Cardo" w:ascii="Cardo" w:hAnsi="Cardo"/>
          <w:sz w:val="22"/>
          <w:szCs w:val="22"/>
        </w:rPr>
        <w:t xml:space="preserve"> truth commitment → EC.</w:t>
      </w:r>
    </w:p>
    <w:p>
      <w:pPr>
        <w:pStyle w:val="normal1"/>
        <w:spacing w:lineRule="auto" w:line="480" w:before="0" w:after="40"/>
        <w:ind w:hanging="0"/>
        <w:jc w:val="left"/>
        <w:rPr/>
      </w:pPr>
      <w:r>
        <w:rPr>
          <w:b/>
          <w:bCs/>
          <w:sz w:val="22"/>
          <w:szCs w:val="22"/>
        </w:rPr>
        <w:t xml:space="preserve">• FP-Cap: </w:t>
      </w:r>
      <w:r>
        <w:rPr>
          <w:sz w:val="22"/>
          <w:szCs w:val="22"/>
        </w:rPr>
        <w:t>“PCR can detect low concentrations.” can = capability, not uncertainty.</w:t>
      </w:r>
    </w:p>
    <w:p>
      <w:pPr>
        <w:pStyle w:val="normal1"/>
        <w:spacing w:lineRule="auto" w:line="480" w:before="0" w:after="40"/>
        <w:ind w:hanging="0"/>
        <w:jc w:val="left"/>
        <w:rPr>
          <w:sz w:val="22"/>
          <w:szCs w:val="22"/>
        </w:rPr>
      </w:pPr>
      <w:r>
        <w:rPr>
          <w:b/>
          <w:bCs/>
          <w:sz w:val="22"/>
          <w:szCs w:val="22"/>
        </w:rPr>
        <w:t xml:space="preserve">• P: </w:t>
      </w:r>
      <w:r>
        <w:rPr>
          <w:rFonts w:eastAsia="Cardo" w:cs="Cardo" w:ascii="Cardo" w:hAnsi="Cardo"/>
          <w:sz w:val="22"/>
          <w:szCs w:val="22"/>
        </w:rPr>
        <w:t xml:space="preserve">“As suggested by previous researchers, the treatment is effective.” Removing the attribution leaves truth the same but sole ownership against prior work → P. </w:t>
      </w:r>
    </w:p>
    <w:p>
      <w:pPr>
        <w:pStyle w:val="normal1"/>
        <w:spacing w:lineRule="auto" w:line="480" w:before="0" w:after="40"/>
        <w:ind w:hanging="0"/>
        <w:jc w:val="left"/>
        <w:rPr/>
      </w:pPr>
      <w:r>
        <w:rPr>
          <w:b/>
          <w:bCs/>
        </w:rPr>
        <w:t xml:space="preserve">• FP-REC: </w:t>
      </w:r>
      <w:r>
        <w:rPr>
          <w:rFonts w:eastAsia="Cardo" w:cs="Cardo" w:ascii="Cardo" w:hAnsi="Cardo"/>
          <w:sz w:val="22"/>
          <w:szCs w:val="22"/>
        </w:rPr>
        <w:t>“Farmers should adopt the treatment” is a directive → FP-Rec.</w:t>
      </w:r>
      <w:r>
        <w:br w:type="page"/>
      </w:r>
    </w:p>
    <w:p>
      <w:pPr>
        <w:pStyle w:val="normal1"/>
        <w:spacing w:lineRule="auto" w:line="480" w:before="0" w:after="40"/>
        <w:ind w:hanging="0"/>
        <w:jc w:val="left"/>
        <w:rPr>
          <w:sz w:val="24"/>
          <w:szCs w:val="24"/>
        </w:rPr>
      </w:pPr>
      <w:r>
        <w:rPr>
          <w:b/>
          <w:bCs/>
          <w:sz w:val="24"/>
          <w:szCs w:val="24"/>
        </w:rPr>
        <w:t>HEDGE TYPE (PRIMARY COLORS)</w:t>
      </w:r>
    </w:p>
    <w:p>
      <w:pPr>
        <w:pStyle w:val="normal1"/>
        <w:spacing w:lineRule="auto" w:line="480" w:before="0" w:after="40"/>
        <w:ind w:hanging="0"/>
        <w:jc w:val="left"/>
        <w:rPr/>
      </w:pPr>
      <w:r>
        <w:rPr>
          <w:sz w:val="22"/>
          <w:szCs w:val="22"/>
        </w:rPr>
        <w:t>Highlight each retained hedge token in the color for its grammatical form. Exclusions are in the Decision Rules table.</w:t>
      </w:r>
    </w:p>
    <w:tbl>
      <w:tblPr>
        <w:tblStyle w:val="Table9"/>
        <w:tblW w:w="8304" w:type="dxa"/>
        <w:jc w:val="left"/>
        <w:tblInd w:w="-40" w:type="dxa"/>
        <w:tblLayout w:type="fixed"/>
        <w:tblCellMar>
          <w:top w:w="0" w:type="dxa"/>
          <w:left w:w="108" w:type="dxa"/>
          <w:bottom w:w="0" w:type="dxa"/>
          <w:right w:w="108" w:type="dxa"/>
        </w:tblCellMar>
        <w:tblLook w:val="0400"/>
      </w:tblPr>
      <w:tblGrid>
        <w:gridCol w:w="2076"/>
        <w:gridCol w:w="2076"/>
        <w:gridCol w:w="2076"/>
        <w:gridCol w:w="2075"/>
      </w:tblGrid>
      <w:tr>
        <w:trPr>
          <w:tblHeader w:val="true"/>
          <w:cantSplit w:val="true"/>
        </w:trPr>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Color</w:t>
            </w:r>
          </w:p>
        </w:tc>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Type</w:t>
            </w:r>
          </w:p>
        </w:tc>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Definition</w:t>
            </w:r>
          </w:p>
        </w:tc>
        <w:tc>
          <w:tcPr>
            <w:tcW w:w="2075"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Highlighted Example</w:t>
            </w:r>
          </w:p>
        </w:tc>
      </w:tr>
      <w:tr>
        <w:trPr>
          <w:cantSplit w:val="true"/>
        </w:trPr>
        <w:tc>
          <w:tcPr>
            <w:tcW w:w="2076" w:type="dxa"/>
            <w:tcBorders/>
            <w:shd w:fill="00B0F0" w:val="clear"/>
          </w:tcPr>
          <w:p>
            <w:pPr>
              <w:pStyle w:val="normal1"/>
              <w:spacing w:lineRule="auto" w:line="480" w:before="0" w:after="0"/>
              <w:jc w:val="left"/>
              <w:rPr>
                <w:sz w:val="18"/>
                <w:szCs w:val="18"/>
              </w:rPr>
            </w:pPr>
            <w:r>
              <w:rPr>
                <w:sz w:val="18"/>
                <w:szCs w:val="18"/>
                <w:shd w:fill="00B0F0" w:val="clear"/>
              </w:rPr>
              <w:t>      </w:t>
            </w:r>
          </w:p>
        </w:tc>
        <w:tc>
          <w:tcPr>
            <w:tcW w:w="2076" w:type="dxa"/>
            <w:tcBorders/>
          </w:tcPr>
          <w:p>
            <w:pPr>
              <w:pStyle w:val="normal1"/>
              <w:spacing w:lineRule="auto" w:line="480" w:before="0" w:after="0"/>
              <w:jc w:val="both"/>
              <w:rPr>
                <w:sz w:val="18"/>
                <w:szCs w:val="18"/>
              </w:rPr>
            </w:pPr>
            <w:r>
              <w:rPr>
                <w:sz w:val="18"/>
                <w:szCs w:val="18"/>
              </w:rPr>
              <w:t>Modal Verbs</w:t>
            </w:r>
          </w:p>
        </w:tc>
        <w:tc>
          <w:tcPr>
            <w:tcW w:w="2076" w:type="dxa"/>
            <w:tcBorders/>
          </w:tcPr>
          <w:p>
            <w:pPr>
              <w:pStyle w:val="normal1"/>
              <w:spacing w:lineRule="auto" w:line="480" w:before="0" w:after="0"/>
              <w:jc w:val="both"/>
              <w:rPr>
                <w:sz w:val="18"/>
                <w:szCs w:val="18"/>
              </w:rPr>
            </w:pPr>
            <w:r>
              <w:rPr>
                <w:sz w:val="18"/>
                <w:szCs w:val="18"/>
              </w:rPr>
              <w:t>Expresses possibility, probability, or a condition under which something may happen.</w:t>
            </w:r>
          </w:p>
        </w:tc>
        <w:tc>
          <w:tcPr>
            <w:tcW w:w="2075" w:type="dxa"/>
            <w:tcBorders/>
          </w:tcPr>
          <w:p>
            <w:pPr>
              <w:pStyle w:val="normal1"/>
              <w:spacing w:lineRule="auto" w:line="480" w:before="0" w:after="0"/>
              <w:jc w:val="both"/>
              <w:rPr>
                <w:sz w:val="18"/>
                <w:szCs w:val="18"/>
              </w:rPr>
            </w:pPr>
            <w:r>
              <w:rPr>
                <w:i w:val="false"/>
                <w:iCs w:val="false"/>
                <w:color w:val="000000"/>
                <w:sz w:val="18"/>
                <w:szCs w:val="18"/>
              </w:rPr>
              <w:t xml:space="preserve">“This </w:t>
            </w:r>
            <w:r>
              <w:rPr>
                <w:b/>
                <w:bCs/>
                <w:strike w:val="false"/>
                <w:dstrike w:val="false"/>
                <w:color w:val="000000"/>
                <w:sz w:val="18"/>
                <w:szCs w:val="18"/>
                <w:shd w:fill="00B0F0" w:val="clear"/>
              </w:rPr>
              <w:t>may</w:t>
            </w:r>
            <w:r>
              <w:rPr>
                <w:i w:val="false"/>
                <w:iCs w:val="false"/>
                <w:color w:val="000000"/>
                <w:sz w:val="18"/>
                <w:szCs w:val="18"/>
              </w:rPr>
              <w:t xml:space="preserve"> indicate disease resistance.”</w:t>
            </w:r>
          </w:p>
        </w:tc>
      </w:tr>
      <w:tr>
        <w:trPr>
          <w:cantSplit w:val="true"/>
        </w:trPr>
        <w:tc>
          <w:tcPr>
            <w:tcW w:w="2076" w:type="dxa"/>
            <w:tcBorders/>
            <w:shd w:fill="FF0000" w:val="clear"/>
          </w:tcPr>
          <w:p>
            <w:pPr>
              <w:pStyle w:val="normal1"/>
              <w:spacing w:lineRule="auto" w:line="480" w:before="0" w:after="0"/>
              <w:jc w:val="left"/>
              <w:rPr>
                <w:sz w:val="18"/>
                <w:szCs w:val="18"/>
              </w:rPr>
            </w:pPr>
            <w:r>
              <w:rPr>
                <w:sz w:val="18"/>
                <w:szCs w:val="18"/>
                <w:highlight w:val="red"/>
              </w:rPr>
              <w:t>      </w:t>
            </w:r>
          </w:p>
        </w:tc>
        <w:tc>
          <w:tcPr>
            <w:tcW w:w="2076" w:type="dxa"/>
            <w:tcBorders/>
          </w:tcPr>
          <w:p>
            <w:pPr>
              <w:pStyle w:val="normal1"/>
              <w:spacing w:lineRule="auto" w:line="480" w:before="0" w:after="0"/>
              <w:jc w:val="both"/>
              <w:rPr>
                <w:sz w:val="18"/>
                <w:szCs w:val="18"/>
              </w:rPr>
            </w:pPr>
            <w:r>
              <w:rPr>
                <w:sz w:val="18"/>
                <w:szCs w:val="18"/>
              </w:rPr>
              <w:t>Lexical Hedges</w:t>
            </w:r>
          </w:p>
        </w:tc>
        <w:tc>
          <w:tcPr>
            <w:tcW w:w="2076" w:type="dxa"/>
            <w:tcBorders/>
          </w:tcPr>
          <w:p>
            <w:pPr>
              <w:pStyle w:val="normal1"/>
              <w:spacing w:lineRule="auto" w:line="480" w:before="0" w:after="0"/>
              <w:jc w:val="both"/>
              <w:rPr>
                <w:sz w:val="18"/>
                <w:szCs w:val="18"/>
              </w:rPr>
            </w:pPr>
            <w:r>
              <w:rPr>
                <w:sz w:val="18"/>
                <w:szCs w:val="18"/>
              </w:rPr>
              <w:t>Verbs, adjectives, or nouns that make a claim less certain or more cautious.</w:t>
            </w:r>
          </w:p>
        </w:tc>
        <w:tc>
          <w:tcPr>
            <w:tcW w:w="2075" w:type="dxa"/>
            <w:tcBorders/>
          </w:tcPr>
          <w:p>
            <w:pPr>
              <w:pStyle w:val="normal1"/>
              <w:spacing w:lineRule="auto" w:line="480" w:before="0" w:after="0"/>
              <w:jc w:val="both"/>
              <w:rPr>
                <w:sz w:val="18"/>
                <w:szCs w:val="18"/>
              </w:rPr>
            </w:pPr>
            <w:r>
              <w:rPr>
                <w:i w:val="false"/>
                <w:iCs w:val="false"/>
                <w:color w:val="000000"/>
                <w:sz w:val="18"/>
                <w:szCs w:val="18"/>
              </w:rPr>
              <w:t xml:space="preserve">“Data </w:t>
            </w:r>
            <w:r>
              <w:rPr>
                <w:b/>
                <w:bCs/>
                <w:strike w:val="false"/>
                <w:dstrike w:val="false"/>
                <w:color w:val="FFFFFF"/>
                <w:sz w:val="18"/>
                <w:szCs w:val="18"/>
                <w:highlight w:val="red"/>
              </w:rPr>
              <w:t>suggests</w:t>
            </w:r>
            <w:r>
              <w:rPr>
                <w:i w:val="false"/>
                <w:iCs w:val="false"/>
                <w:color w:val="000000"/>
                <w:sz w:val="18"/>
                <w:szCs w:val="18"/>
              </w:rPr>
              <w:t xml:space="preserve"> a correlation.”</w:t>
            </w:r>
          </w:p>
        </w:tc>
      </w:tr>
      <w:tr>
        <w:trPr>
          <w:cantSplit w:val="true"/>
        </w:trPr>
        <w:tc>
          <w:tcPr>
            <w:tcW w:w="2076" w:type="dxa"/>
            <w:tcBorders/>
            <w:shd w:fill="FFFF00" w:val="clear"/>
          </w:tcPr>
          <w:p>
            <w:pPr>
              <w:pStyle w:val="normal1"/>
              <w:spacing w:lineRule="auto" w:line="480" w:before="0" w:after="0"/>
              <w:jc w:val="left"/>
              <w:rPr>
                <w:sz w:val="18"/>
                <w:szCs w:val="18"/>
              </w:rPr>
            </w:pPr>
            <w:r>
              <w:rPr>
                <w:sz w:val="18"/>
                <w:szCs w:val="18"/>
                <w:highlight w:val="yellow"/>
              </w:rPr>
              <w:t>      </w:t>
            </w:r>
          </w:p>
        </w:tc>
        <w:tc>
          <w:tcPr>
            <w:tcW w:w="2076" w:type="dxa"/>
            <w:tcBorders/>
          </w:tcPr>
          <w:p>
            <w:pPr>
              <w:pStyle w:val="normal1"/>
              <w:spacing w:lineRule="auto" w:line="480" w:before="0" w:after="0"/>
              <w:jc w:val="both"/>
              <w:rPr>
                <w:sz w:val="18"/>
                <w:szCs w:val="18"/>
              </w:rPr>
            </w:pPr>
            <w:r>
              <w:rPr>
                <w:sz w:val="18"/>
                <w:szCs w:val="18"/>
              </w:rPr>
              <w:t>Adverbial Hedges</w:t>
            </w:r>
          </w:p>
        </w:tc>
        <w:tc>
          <w:tcPr>
            <w:tcW w:w="2076" w:type="dxa"/>
            <w:tcBorders/>
          </w:tcPr>
          <w:p>
            <w:pPr>
              <w:pStyle w:val="normal1"/>
              <w:spacing w:lineRule="auto" w:line="480" w:before="0" w:after="0"/>
              <w:jc w:val="both"/>
              <w:rPr>
                <w:sz w:val="18"/>
                <w:szCs w:val="18"/>
              </w:rPr>
            </w:pPr>
            <w:r>
              <w:rPr>
                <w:sz w:val="18"/>
                <w:szCs w:val="18"/>
              </w:rPr>
              <w:t>Adverbs that qualify how broadly, how often, or how certainly a claim applies.</w:t>
            </w:r>
          </w:p>
        </w:tc>
        <w:tc>
          <w:tcPr>
            <w:tcW w:w="2075" w:type="dxa"/>
            <w:tcBorders/>
          </w:tcPr>
          <w:p>
            <w:pPr>
              <w:pStyle w:val="normal1"/>
              <w:spacing w:lineRule="auto" w:line="480" w:before="0" w:after="0"/>
              <w:jc w:val="both"/>
              <w:rPr>
                <w:sz w:val="18"/>
                <w:szCs w:val="18"/>
              </w:rPr>
            </w:pPr>
            <w:r>
              <w:rPr>
                <w:i w:val="false"/>
                <w:iCs w:val="false"/>
                <w:color w:val="000000"/>
                <w:sz w:val="18"/>
                <w:szCs w:val="18"/>
              </w:rPr>
              <w:t xml:space="preserve">“Plants </w:t>
            </w:r>
            <w:r>
              <w:rPr>
                <w:b/>
                <w:bCs/>
                <w:strike w:val="false"/>
                <w:dstrike w:val="false"/>
                <w:color w:val="000000"/>
                <w:sz w:val="18"/>
                <w:szCs w:val="18"/>
                <w:highlight w:val="yellow"/>
              </w:rPr>
              <w:t>generally</w:t>
            </w:r>
            <w:r>
              <w:rPr>
                <w:i w:val="false"/>
                <w:iCs w:val="false"/>
                <w:color w:val="000000"/>
                <w:sz w:val="18"/>
                <w:szCs w:val="18"/>
              </w:rPr>
              <w:t xml:space="preserve"> respond to drought.”</w:t>
            </w:r>
          </w:p>
        </w:tc>
      </w:tr>
      <w:tr>
        <w:trPr>
          <w:cantSplit w:val="true"/>
        </w:trPr>
        <w:tc>
          <w:tcPr>
            <w:tcW w:w="2076" w:type="dxa"/>
            <w:tcBorders>
              <w:bottom w:val="single" w:sz="18" w:space="0" w:color="000000"/>
            </w:tcBorders>
            <w:shd w:fill="00B050" w:val="clear"/>
          </w:tcPr>
          <w:p>
            <w:pPr>
              <w:pStyle w:val="normal1"/>
              <w:spacing w:lineRule="auto" w:line="480" w:before="0" w:after="0"/>
              <w:jc w:val="left"/>
              <w:rPr>
                <w:sz w:val="18"/>
                <w:szCs w:val="18"/>
              </w:rPr>
            </w:pPr>
            <w:r>
              <w:rPr>
                <w:sz w:val="18"/>
                <w:szCs w:val="18"/>
                <w:shd w:fill="00B050" w:val="clear"/>
              </w:rPr>
              <w:t>      </w:t>
            </w:r>
          </w:p>
        </w:tc>
        <w:tc>
          <w:tcPr>
            <w:tcW w:w="2076" w:type="dxa"/>
            <w:tcBorders>
              <w:bottom w:val="single" w:sz="18" w:space="0" w:color="000000"/>
            </w:tcBorders>
          </w:tcPr>
          <w:p>
            <w:pPr>
              <w:pStyle w:val="normal1"/>
              <w:spacing w:lineRule="auto" w:line="480" w:before="0" w:after="0"/>
              <w:jc w:val="both"/>
              <w:rPr>
                <w:sz w:val="18"/>
                <w:szCs w:val="18"/>
              </w:rPr>
            </w:pPr>
            <w:r>
              <w:rPr>
                <w:sz w:val="18"/>
                <w:szCs w:val="18"/>
              </w:rPr>
              <w:t>Clause-Level Hedges</w:t>
            </w:r>
          </w:p>
        </w:tc>
        <w:tc>
          <w:tcPr>
            <w:tcW w:w="2076" w:type="dxa"/>
            <w:tcBorders>
              <w:bottom w:val="single" w:sz="18" w:space="0" w:color="000000"/>
            </w:tcBorders>
          </w:tcPr>
          <w:p>
            <w:pPr>
              <w:pStyle w:val="normal1"/>
              <w:spacing w:lineRule="auto" w:line="480" w:before="0" w:after="0"/>
              <w:jc w:val="both"/>
              <w:rPr>
                <w:sz w:val="18"/>
                <w:szCs w:val="18"/>
              </w:rPr>
            </w:pPr>
            <w:r>
              <w:rPr>
                <w:sz w:val="18"/>
                <w:szCs w:val="18"/>
              </w:rPr>
              <w:t>Clause-level phrases framing a claim as tentative.</w:t>
            </w:r>
          </w:p>
        </w:tc>
        <w:tc>
          <w:tcPr>
            <w:tcW w:w="2075" w:type="dxa"/>
            <w:tcBorders>
              <w:bottom w:val="single" w:sz="18" w:space="0" w:color="000000"/>
            </w:tcBorders>
          </w:tcPr>
          <w:p>
            <w:pPr>
              <w:pStyle w:val="normal1"/>
              <w:spacing w:lineRule="auto" w:line="480" w:before="0" w:after="0"/>
              <w:jc w:val="both"/>
              <w:rPr>
                <w:sz w:val="18"/>
                <w:szCs w:val="18"/>
              </w:rPr>
            </w:pPr>
            <w:r>
              <w:rPr>
                <w:i w:val="false"/>
                <w:iCs w:val="false"/>
                <w:color w:val="000000"/>
                <w:sz w:val="18"/>
                <w:szCs w:val="18"/>
              </w:rPr>
              <w:t>“</w:t>
            </w:r>
            <w:r>
              <w:rPr>
                <w:b/>
                <w:bCs/>
                <w:strike w:val="false"/>
                <w:dstrike w:val="false"/>
                <w:color w:val="FFFFFF"/>
                <w:sz w:val="18"/>
                <w:szCs w:val="18"/>
                <w:shd w:fill="00B050" w:val="clear"/>
              </w:rPr>
              <w:t>It seems that</w:t>
            </w:r>
            <w:r>
              <w:rPr>
                <w:i w:val="false"/>
                <w:iCs w:val="false"/>
                <w:color w:val="000000"/>
                <w:sz w:val="18"/>
                <w:szCs w:val="18"/>
              </w:rPr>
              <w:t xml:space="preserve"> the pathogen is host-specific.”</w:t>
            </w:r>
          </w:p>
        </w:tc>
      </w:tr>
    </w:tbl>
    <w:p>
      <w:pPr>
        <w:pStyle w:val="normal1"/>
        <w:spacing w:lineRule="auto" w:line="480" w:before="0" w:after="40"/>
        <w:ind w:hanging="0"/>
        <w:jc w:val="left"/>
        <w:rPr>
          <w:b/>
          <w:bCs/>
        </w:rPr>
      </w:pPr>
      <w:r>
        <w:rPr>
          <w:b/>
          <w:bCs/>
        </w:rPr>
      </w:r>
    </w:p>
    <w:p>
      <w:pPr>
        <w:pStyle w:val="normal1"/>
        <w:spacing w:lineRule="auto" w:line="480" w:before="0" w:after="40"/>
        <w:ind w:hanging="0"/>
        <w:jc w:val="left"/>
        <w:rPr/>
      </w:pPr>
      <w:r>
        <w:rPr>
          <w:b/>
          <w:bCs/>
          <w:sz w:val="22"/>
          <w:szCs w:val="22"/>
        </w:rPr>
        <w:t xml:space="preserve">• Type notes. </w:t>
      </w:r>
      <w:r>
        <w:rPr>
          <w:sz w:val="22"/>
          <w:szCs w:val="22"/>
        </w:rPr>
        <w:t>imply/implies/implying = suggest. can be concluded/derived/stated = inferential hedge (not capability can). potentially = adverbial. potential + noun: topic-naming in aims/methods = FP-Gen, qualifying a finding in results/conclusion = Lexical EC if removal changes commitment.</w:t>
      </w:r>
      <w:r>
        <w:br w:type="page"/>
      </w:r>
    </w:p>
    <w:p>
      <w:pPr>
        <w:pStyle w:val="normal1"/>
        <w:keepNext w:val="true"/>
        <w:spacing w:lineRule="auto" w:line="480" w:before="200" w:after="40"/>
        <w:ind w:hanging="0"/>
        <w:jc w:val="left"/>
        <w:rPr>
          <w:sz w:val="24"/>
          <w:szCs w:val="24"/>
        </w:rPr>
      </w:pPr>
      <w:r>
        <w:rPr>
          <w:b/>
          <w:bCs/>
          <w:sz w:val="24"/>
          <w:szCs w:val="24"/>
        </w:rPr>
        <w:t>HEDGE FUNCTION (COLORED TEXT LABELS)</w:t>
      </w:r>
    </w:p>
    <w:tbl>
      <w:tblPr>
        <w:tblStyle w:val="Table10"/>
        <w:tblW w:w="8304" w:type="dxa"/>
        <w:jc w:val="left"/>
        <w:tblInd w:w="-40" w:type="dxa"/>
        <w:tblLayout w:type="fixed"/>
        <w:tblCellMar>
          <w:top w:w="0" w:type="dxa"/>
          <w:left w:w="108" w:type="dxa"/>
          <w:bottom w:w="0" w:type="dxa"/>
          <w:right w:w="108" w:type="dxa"/>
        </w:tblCellMar>
        <w:tblLook w:val="0400"/>
      </w:tblPr>
      <w:tblGrid>
        <w:gridCol w:w="2076"/>
        <w:gridCol w:w="2076"/>
        <w:gridCol w:w="2076"/>
        <w:gridCol w:w="2075"/>
      </w:tblGrid>
      <w:tr>
        <w:trPr>
          <w:tblHeader w:val="true"/>
          <w:cantSplit w:val="true"/>
        </w:trPr>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Label</w:t>
            </w:r>
          </w:p>
        </w:tc>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Function</w:t>
            </w:r>
          </w:p>
        </w:tc>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Definition</w:t>
            </w:r>
          </w:p>
        </w:tc>
        <w:tc>
          <w:tcPr>
            <w:tcW w:w="2075"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Marked Example</w:t>
            </w:r>
          </w:p>
        </w:tc>
      </w:tr>
      <w:tr>
        <w:trPr>
          <w:cantSplit w:val="true"/>
        </w:trPr>
        <w:tc>
          <w:tcPr>
            <w:tcW w:w="2076" w:type="dxa"/>
            <w:tcBorders/>
          </w:tcPr>
          <w:p>
            <w:pPr>
              <w:pStyle w:val="normal1"/>
              <w:spacing w:lineRule="auto" w:line="480" w:before="0" w:after="0"/>
              <w:jc w:val="left"/>
              <w:rPr>
                <w:sz w:val="18"/>
                <w:szCs w:val="18"/>
              </w:rPr>
            </w:pPr>
            <w:r>
              <w:rPr>
                <w:b/>
                <w:bCs/>
                <w:i w:val="false"/>
                <w:iCs w:val="false"/>
                <w:color w:val="ED7D31"/>
                <w:sz w:val="18"/>
                <w:szCs w:val="18"/>
              </w:rPr>
              <w:t>EC</w:t>
            </w:r>
          </w:p>
        </w:tc>
        <w:tc>
          <w:tcPr>
            <w:tcW w:w="2076" w:type="dxa"/>
            <w:tcBorders/>
          </w:tcPr>
          <w:p>
            <w:pPr>
              <w:pStyle w:val="normal1"/>
              <w:spacing w:lineRule="auto" w:line="480" w:before="0" w:after="0"/>
              <w:jc w:val="both"/>
              <w:rPr>
                <w:sz w:val="18"/>
                <w:szCs w:val="18"/>
              </w:rPr>
            </w:pPr>
            <w:r>
              <w:rPr>
                <w:sz w:val="18"/>
                <w:szCs w:val="18"/>
              </w:rPr>
              <w:t>Epistemic Caution</w:t>
            </w:r>
          </w:p>
        </w:tc>
        <w:tc>
          <w:tcPr>
            <w:tcW w:w="2076" w:type="dxa"/>
            <w:tcBorders/>
          </w:tcPr>
          <w:p>
            <w:pPr>
              <w:pStyle w:val="normal1"/>
              <w:spacing w:lineRule="auto" w:line="480" w:before="0" w:after="0"/>
              <w:jc w:val="both"/>
              <w:rPr>
                <w:sz w:val="18"/>
                <w:szCs w:val="18"/>
              </w:rPr>
            </w:pPr>
            <w:r>
              <w:rPr>
                <w:sz w:val="18"/>
                <w:szCs w:val="18"/>
              </w:rPr>
              <w:t>Expresses uncertainty about a claim’s truth.</w:t>
            </w:r>
          </w:p>
        </w:tc>
        <w:tc>
          <w:tcPr>
            <w:tcW w:w="2075" w:type="dxa"/>
            <w:tcBorders/>
          </w:tcPr>
          <w:p>
            <w:pPr>
              <w:pStyle w:val="normal1"/>
              <w:spacing w:lineRule="auto" w:line="480" w:before="0" w:after="0"/>
              <w:jc w:val="both"/>
              <w:rPr>
                <w:sz w:val="18"/>
                <w:szCs w:val="18"/>
              </w:rPr>
            </w:pPr>
            <w:r>
              <w:rPr>
                <w:i w:val="false"/>
                <w:iCs w:val="false"/>
                <w:color w:val="000000"/>
                <w:sz w:val="18"/>
                <w:szCs w:val="18"/>
              </w:rPr>
              <w:t xml:space="preserve">“The treatment </w:t>
            </w:r>
            <w:r>
              <w:rPr>
                <w:b/>
                <w:bCs/>
                <w:strike w:val="false"/>
                <w:dstrike w:val="false"/>
                <w:color w:val="000000"/>
                <w:sz w:val="18"/>
                <w:szCs w:val="18"/>
                <w:shd w:fill="00B0F0" w:val="clear"/>
              </w:rPr>
              <w:t>may</w:t>
            </w:r>
            <w:r>
              <w:rPr>
                <w:i w:val="false"/>
                <w:iCs w:val="false"/>
                <w:color w:val="000000"/>
                <w:sz w:val="18"/>
                <w:szCs w:val="18"/>
              </w:rPr>
              <w:t xml:space="preserve"> reduce infection rates. </w:t>
            </w:r>
            <w:r>
              <w:rPr>
                <w:b/>
                <w:bCs/>
                <w:i w:val="false"/>
                <w:iCs w:val="false"/>
                <w:color w:val="ED7D31"/>
                <w:sz w:val="18"/>
                <w:szCs w:val="18"/>
              </w:rPr>
              <w:t>(EC)</w:t>
            </w:r>
            <w:r>
              <w:rPr>
                <w:i w:val="false"/>
                <w:iCs w:val="false"/>
                <w:color w:val="000000"/>
                <w:sz w:val="18"/>
                <w:szCs w:val="18"/>
              </w:rPr>
              <w:t>”</w:t>
            </w:r>
          </w:p>
        </w:tc>
      </w:tr>
      <w:tr>
        <w:trPr>
          <w:cantSplit w:val="true"/>
        </w:trPr>
        <w:tc>
          <w:tcPr>
            <w:tcW w:w="2076" w:type="dxa"/>
            <w:tcBorders/>
          </w:tcPr>
          <w:p>
            <w:pPr>
              <w:pStyle w:val="normal1"/>
              <w:spacing w:lineRule="auto" w:line="480" w:before="0" w:after="0"/>
              <w:jc w:val="left"/>
              <w:rPr>
                <w:sz w:val="18"/>
                <w:szCs w:val="18"/>
              </w:rPr>
            </w:pPr>
            <w:r>
              <w:rPr>
                <w:b/>
                <w:bCs/>
                <w:i w:val="false"/>
                <w:iCs w:val="false"/>
                <w:color w:val="7030A0"/>
                <w:sz w:val="18"/>
                <w:szCs w:val="18"/>
              </w:rPr>
              <w:t>P</w:t>
            </w:r>
          </w:p>
        </w:tc>
        <w:tc>
          <w:tcPr>
            <w:tcW w:w="2076" w:type="dxa"/>
            <w:tcBorders/>
          </w:tcPr>
          <w:p>
            <w:pPr>
              <w:pStyle w:val="normal1"/>
              <w:spacing w:lineRule="auto" w:line="480" w:before="0" w:after="0"/>
              <w:jc w:val="both"/>
              <w:rPr>
                <w:sz w:val="18"/>
                <w:szCs w:val="18"/>
              </w:rPr>
            </w:pPr>
            <w:r>
              <w:rPr>
                <w:sz w:val="18"/>
                <w:szCs w:val="18"/>
              </w:rPr>
              <w:t>Politeness / Deference</w:t>
            </w:r>
          </w:p>
        </w:tc>
        <w:tc>
          <w:tcPr>
            <w:tcW w:w="2076" w:type="dxa"/>
            <w:tcBorders/>
          </w:tcPr>
          <w:p>
            <w:pPr>
              <w:pStyle w:val="normal1"/>
              <w:spacing w:lineRule="auto" w:line="480" w:before="0" w:after="0"/>
              <w:jc w:val="both"/>
              <w:rPr>
                <w:sz w:val="18"/>
                <w:szCs w:val="18"/>
              </w:rPr>
            </w:pPr>
            <w:r>
              <w:rPr>
                <w:sz w:val="18"/>
                <w:szCs w:val="18"/>
              </w:rPr>
              <w:t>Shows respect to readers or prior research.</w:t>
            </w:r>
          </w:p>
        </w:tc>
        <w:tc>
          <w:tcPr>
            <w:tcW w:w="2075" w:type="dxa"/>
            <w:tcBorders/>
          </w:tcPr>
          <w:p>
            <w:pPr>
              <w:pStyle w:val="normal1"/>
              <w:spacing w:lineRule="auto" w:line="480" w:before="0" w:after="0"/>
              <w:jc w:val="both"/>
              <w:rPr>
                <w:sz w:val="18"/>
                <w:szCs w:val="18"/>
              </w:rPr>
            </w:pPr>
            <w:r>
              <w:rPr>
                <w:i w:val="false"/>
                <w:iCs w:val="false"/>
                <w:color w:val="000000"/>
                <w:sz w:val="18"/>
                <w:szCs w:val="18"/>
              </w:rPr>
              <w:t xml:space="preserve">“As </w:t>
            </w:r>
            <w:r>
              <w:rPr>
                <w:b/>
                <w:bCs/>
                <w:strike w:val="false"/>
                <w:dstrike w:val="false"/>
                <w:color w:val="FFFFFF"/>
                <w:sz w:val="18"/>
                <w:szCs w:val="18"/>
                <w:highlight w:val="red"/>
              </w:rPr>
              <w:t>suggested</w:t>
            </w:r>
            <w:r>
              <w:rPr>
                <w:i w:val="false"/>
                <w:iCs w:val="false"/>
                <w:color w:val="000000"/>
                <w:sz w:val="18"/>
                <w:szCs w:val="18"/>
              </w:rPr>
              <w:t xml:space="preserve"> by Hyland (1998). </w:t>
            </w:r>
            <w:r>
              <w:rPr>
                <w:b/>
                <w:bCs/>
                <w:i w:val="false"/>
                <w:iCs w:val="false"/>
                <w:color w:val="7030A0"/>
                <w:sz w:val="18"/>
                <w:szCs w:val="18"/>
              </w:rPr>
              <w:t>(P)</w:t>
            </w:r>
            <w:r>
              <w:rPr>
                <w:i w:val="false"/>
                <w:iCs w:val="false"/>
                <w:color w:val="000000"/>
                <w:sz w:val="18"/>
                <w:szCs w:val="18"/>
              </w:rPr>
              <w:t>”</w:t>
            </w:r>
          </w:p>
        </w:tc>
      </w:tr>
      <w:tr>
        <w:trPr>
          <w:cantSplit w:val="true"/>
        </w:trPr>
        <w:tc>
          <w:tcPr>
            <w:tcW w:w="2076" w:type="dxa"/>
            <w:tcBorders>
              <w:bottom w:val="single" w:sz="18" w:space="0" w:color="000000"/>
            </w:tcBorders>
          </w:tcPr>
          <w:p>
            <w:pPr>
              <w:pStyle w:val="normal1"/>
              <w:spacing w:lineRule="auto" w:line="480" w:before="0" w:after="0"/>
              <w:jc w:val="left"/>
              <w:rPr>
                <w:sz w:val="18"/>
                <w:szCs w:val="18"/>
              </w:rPr>
            </w:pPr>
            <w:r>
              <w:rPr>
                <w:b/>
                <w:bCs/>
                <w:i w:val="false"/>
                <w:iCs w:val="false"/>
                <w:sz w:val="18"/>
                <w:szCs w:val="18"/>
              </w:rPr>
              <w:t>FP</w:t>
            </w:r>
          </w:p>
        </w:tc>
        <w:tc>
          <w:tcPr>
            <w:tcW w:w="2076" w:type="dxa"/>
            <w:tcBorders>
              <w:bottom w:val="single" w:sz="18" w:space="0" w:color="000000"/>
            </w:tcBorders>
          </w:tcPr>
          <w:p>
            <w:pPr>
              <w:pStyle w:val="normal1"/>
              <w:spacing w:lineRule="auto" w:line="480" w:before="0" w:after="0"/>
              <w:jc w:val="both"/>
              <w:rPr>
                <w:sz w:val="18"/>
                <w:szCs w:val="18"/>
              </w:rPr>
            </w:pPr>
            <w:r>
              <w:rPr>
                <w:sz w:val="18"/>
                <w:szCs w:val="18"/>
              </w:rPr>
              <w:t>(not a function)</w:t>
            </w:r>
          </w:p>
        </w:tc>
        <w:tc>
          <w:tcPr>
            <w:tcW w:w="2076" w:type="dxa"/>
            <w:tcBorders>
              <w:bottom w:val="single" w:sz="18" w:space="0" w:color="000000"/>
            </w:tcBorders>
          </w:tcPr>
          <w:p>
            <w:pPr>
              <w:pStyle w:val="normal1"/>
              <w:spacing w:lineRule="auto" w:line="480" w:before="0" w:after="0"/>
              <w:jc w:val="both"/>
              <w:rPr>
                <w:sz w:val="18"/>
                <w:szCs w:val="18"/>
              </w:rPr>
            </w:pPr>
            <w:r>
              <w:rPr>
                <w:sz w:val="18"/>
                <w:szCs w:val="18"/>
              </w:rPr>
              <w:t>Fails Working Test and Reader Test</w:t>
            </w:r>
          </w:p>
        </w:tc>
        <w:tc>
          <w:tcPr>
            <w:tcW w:w="2075" w:type="dxa"/>
            <w:tcBorders>
              <w:bottom w:val="single" w:sz="18" w:space="0" w:color="000000"/>
            </w:tcBorders>
          </w:tcPr>
          <w:p>
            <w:pPr>
              <w:pStyle w:val="normal1"/>
              <w:spacing w:lineRule="auto" w:line="480" w:before="0" w:after="0"/>
              <w:jc w:val="both"/>
              <w:rPr>
                <w:sz w:val="18"/>
                <w:szCs w:val="18"/>
              </w:rPr>
            </w:pPr>
            <w:r>
              <w:rPr>
                <w:i w:val="false"/>
                <w:iCs w:val="false"/>
                <w:color w:val="000000"/>
                <w:sz w:val="18"/>
                <w:szCs w:val="18"/>
              </w:rPr>
              <w:t>“In conclusion, T3 produced the highest yield.”</w:t>
            </w:r>
          </w:p>
        </w:tc>
      </w:tr>
    </w:tbl>
    <w:p>
      <w:pPr>
        <w:pStyle w:val="normal1"/>
        <w:keepNext w:val="true"/>
        <w:spacing w:lineRule="auto" w:line="480" w:before="200" w:after="40"/>
        <w:ind w:hanging="0"/>
        <w:jc w:val="left"/>
        <w:rPr>
          <w:b/>
          <w:bCs/>
        </w:rPr>
      </w:pPr>
      <w:r>
        <w:rPr>
          <w:b/>
          <w:bCs/>
        </w:rPr>
      </w:r>
    </w:p>
    <w:p>
      <w:pPr>
        <w:pStyle w:val="normal1"/>
        <w:keepNext w:val="true"/>
        <w:spacing w:lineRule="auto" w:line="480" w:before="200" w:after="40"/>
        <w:ind w:hanging="0"/>
        <w:jc w:val="left"/>
        <w:rPr>
          <w:sz w:val="24"/>
          <w:szCs w:val="24"/>
        </w:rPr>
      </w:pPr>
      <w:r>
        <w:rPr>
          <w:b/>
          <w:bCs/>
          <w:sz w:val="24"/>
          <w:szCs w:val="24"/>
        </w:rPr>
        <w:t>DECISION RULES FOR AMBIGUOUS CASES</w:t>
      </w:r>
    </w:p>
    <w:p>
      <w:pPr>
        <w:pStyle w:val="normal1"/>
        <w:spacing w:lineRule="auto" w:line="480" w:before="0" w:after="40"/>
        <w:ind w:hanging="0"/>
        <w:jc w:val="left"/>
        <w:rPr/>
      </w:pPr>
      <w:r>
        <w:rPr>
          <w:sz w:val="22"/>
          <w:szCs w:val="22"/>
        </w:rPr>
        <w:t>Use the table below for FP reason codes after the claim condition or both tests fail.</w:t>
      </w:r>
    </w:p>
    <w:tbl>
      <w:tblPr>
        <w:tblStyle w:val="Table11"/>
        <w:tblW w:w="8307" w:type="dxa"/>
        <w:jc w:val="left"/>
        <w:tblInd w:w="-40" w:type="dxa"/>
        <w:tblLayout w:type="fixed"/>
        <w:tblCellMar>
          <w:top w:w="0" w:type="dxa"/>
          <w:left w:w="108" w:type="dxa"/>
          <w:bottom w:w="0" w:type="dxa"/>
          <w:right w:w="108" w:type="dxa"/>
        </w:tblCellMar>
        <w:tblLook w:val="0400"/>
      </w:tblPr>
      <w:tblGrid>
        <w:gridCol w:w="2769"/>
        <w:gridCol w:w="2769"/>
        <w:gridCol w:w="2769"/>
      </w:tblGrid>
      <w:tr>
        <w:trPr>
          <w:tblHeader w:val="true"/>
          <w:cantSplit w:val="true"/>
        </w:trPr>
        <w:tc>
          <w:tcPr>
            <w:tcW w:w="2769"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Token</w:t>
            </w:r>
          </w:p>
        </w:tc>
        <w:tc>
          <w:tcPr>
            <w:tcW w:w="2769"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Hedge When</w:t>
            </w:r>
          </w:p>
        </w:tc>
        <w:tc>
          <w:tcPr>
            <w:tcW w:w="2769"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Not a Hedge When</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000000"/>
                <w:sz w:val="18"/>
                <w:szCs w:val="18"/>
              </w:rPr>
              <w:t>suggest / indicate</w:t>
            </w:r>
          </w:p>
        </w:tc>
        <w:tc>
          <w:tcPr>
            <w:tcW w:w="2769" w:type="dxa"/>
            <w:tcBorders/>
          </w:tcPr>
          <w:p>
            <w:pPr>
              <w:pStyle w:val="normal1"/>
              <w:spacing w:lineRule="auto" w:line="480" w:before="0" w:after="0"/>
              <w:jc w:val="both"/>
              <w:rPr>
                <w:sz w:val="18"/>
                <w:szCs w:val="18"/>
              </w:rPr>
            </w:pPr>
            <w:r>
              <w:rPr>
                <w:sz w:val="18"/>
                <w:szCs w:val="18"/>
              </w:rPr>
              <w:t>Expresses uncertainty about a finding or conclusion</w:t>
            </w:r>
          </w:p>
        </w:tc>
        <w:tc>
          <w:tcPr>
            <w:tcW w:w="2769" w:type="dxa"/>
            <w:tcBorders/>
          </w:tcPr>
          <w:p>
            <w:pPr>
              <w:pStyle w:val="normal1"/>
              <w:spacing w:lineRule="auto" w:line="480" w:before="0" w:after="0"/>
              <w:jc w:val="both"/>
              <w:rPr>
                <w:sz w:val="18"/>
                <w:szCs w:val="18"/>
              </w:rPr>
            </w:pPr>
            <w:r>
              <w:rPr>
                <w:sz w:val="18"/>
                <w:szCs w:val="18"/>
              </w:rPr>
              <w:t>Introduces a recommendation or action</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000000"/>
                <w:sz w:val="18"/>
                <w:szCs w:val="18"/>
              </w:rPr>
              <w:t>suggest / indicate + need for</w:t>
            </w:r>
          </w:p>
        </w:tc>
        <w:tc>
          <w:tcPr>
            <w:tcW w:w="2769" w:type="dxa"/>
            <w:tcBorders/>
          </w:tcPr>
          <w:p>
            <w:pPr>
              <w:pStyle w:val="normal1"/>
              <w:spacing w:lineRule="auto" w:line="480" w:before="0" w:after="0"/>
              <w:jc w:val="both"/>
              <w:rPr>
                <w:sz w:val="18"/>
                <w:szCs w:val="18"/>
              </w:rPr>
            </w:pPr>
            <w:r>
              <w:rPr>
                <w:sz w:val="18"/>
                <w:szCs w:val="18"/>
              </w:rPr>
              <w:t>Says the evidence suggests a need may exist</w:t>
            </w:r>
          </w:p>
        </w:tc>
        <w:tc>
          <w:tcPr>
            <w:tcW w:w="2769" w:type="dxa"/>
            <w:tcBorders/>
          </w:tcPr>
          <w:p>
            <w:pPr>
              <w:pStyle w:val="normal1"/>
              <w:spacing w:lineRule="auto" w:line="480" w:before="0" w:after="0"/>
              <w:jc w:val="both"/>
              <w:rPr>
                <w:sz w:val="18"/>
                <w:szCs w:val="18"/>
              </w:rPr>
            </w:pPr>
            <w:r>
              <w:rPr>
                <w:sz w:val="18"/>
                <w:szCs w:val="18"/>
              </w:rPr>
              <w:t>Says what should be done or is needed</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000000"/>
                <w:sz w:val="18"/>
                <w:szCs w:val="18"/>
              </w:rPr>
              <w:t>indicated by</w:t>
            </w:r>
          </w:p>
        </w:tc>
        <w:tc>
          <w:tcPr>
            <w:tcW w:w="2769" w:type="dxa"/>
            <w:tcBorders/>
          </w:tcPr>
          <w:p>
            <w:pPr>
              <w:pStyle w:val="normal1"/>
              <w:spacing w:lineRule="auto" w:line="480" w:before="0" w:after="0"/>
              <w:jc w:val="both"/>
              <w:rPr>
                <w:sz w:val="18"/>
                <w:szCs w:val="18"/>
              </w:rPr>
            </w:pPr>
            <w:r>
              <w:rPr>
                <w:sz w:val="18"/>
                <w:szCs w:val="18"/>
              </w:rPr>
              <w:t>Introduces a conclusion drawn from evidence</w:t>
            </w:r>
          </w:p>
        </w:tc>
        <w:tc>
          <w:tcPr>
            <w:tcW w:w="2769" w:type="dxa"/>
            <w:tcBorders/>
          </w:tcPr>
          <w:p>
            <w:pPr>
              <w:pStyle w:val="normal1"/>
              <w:spacing w:lineRule="auto" w:line="480" w:before="0" w:after="0"/>
              <w:jc w:val="both"/>
              <w:rPr>
                <w:sz w:val="18"/>
                <w:szCs w:val="18"/>
              </w:rPr>
            </w:pPr>
            <w:r>
              <w:rPr>
                <w:sz w:val="18"/>
                <w:szCs w:val="18"/>
              </w:rPr>
              <w:t>Points to evidence for a claim already stated</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000000"/>
                <w:sz w:val="18"/>
                <w:szCs w:val="18"/>
              </w:rPr>
              <w:t>indicate / indicates that</w:t>
            </w:r>
          </w:p>
        </w:tc>
        <w:tc>
          <w:tcPr>
            <w:tcW w:w="2769" w:type="dxa"/>
            <w:tcBorders/>
          </w:tcPr>
          <w:p>
            <w:pPr>
              <w:pStyle w:val="normal1"/>
              <w:spacing w:lineRule="auto" w:line="480" w:before="0" w:after="0"/>
              <w:jc w:val="both"/>
              <w:rPr>
                <w:sz w:val="18"/>
                <w:szCs w:val="18"/>
              </w:rPr>
            </w:pPr>
            <w:r>
              <w:rPr>
                <w:sz w:val="18"/>
                <w:szCs w:val="18"/>
              </w:rPr>
              <w:t>Introduces an inferential conclusion drawn from analysis</w:t>
            </w:r>
          </w:p>
        </w:tc>
        <w:tc>
          <w:tcPr>
            <w:tcW w:w="2769" w:type="dxa"/>
            <w:tcBorders/>
          </w:tcPr>
          <w:p>
            <w:pPr>
              <w:pStyle w:val="normal1"/>
              <w:spacing w:lineRule="auto" w:line="480" w:before="0" w:after="0"/>
              <w:jc w:val="both"/>
              <w:rPr>
                <w:sz w:val="18"/>
                <w:szCs w:val="18"/>
              </w:rPr>
            </w:pPr>
            <w:r>
              <w:rPr>
                <w:sz w:val="18"/>
                <w:szCs w:val="18"/>
              </w:rPr>
              <w:t>Used as a synonym for showed/demonstrated (factive reporting)</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000000"/>
                <w:sz w:val="18"/>
                <w:szCs w:val="18"/>
              </w:rPr>
              <w:t>indicating (participial)</w:t>
            </w:r>
          </w:p>
        </w:tc>
        <w:tc>
          <w:tcPr>
            <w:tcW w:w="2769" w:type="dxa"/>
            <w:tcBorders/>
          </w:tcPr>
          <w:p>
            <w:pPr>
              <w:pStyle w:val="normal1"/>
              <w:spacing w:lineRule="auto" w:line="480" w:before="0" w:after="0"/>
              <w:jc w:val="both"/>
              <w:rPr>
                <w:sz w:val="18"/>
                <w:szCs w:val="18"/>
              </w:rPr>
            </w:pPr>
            <w:r>
              <w:rPr>
                <w:sz w:val="18"/>
                <w:szCs w:val="18"/>
              </w:rPr>
              <w:t>Introduces an inference beyond the operational definition of the result</w:t>
            </w:r>
          </w:p>
        </w:tc>
        <w:tc>
          <w:tcPr>
            <w:tcW w:w="2769" w:type="dxa"/>
            <w:tcBorders/>
          </w:tcPr>
          <w:p>
            <w:pPr>
              <w:pStyle w:val="normal1"/>
              <w:spacing w:lineRule="auto" w:line="480" w:before="0" w:after="0"/>
              <w:jc w:val="both"/>
              <w:rPr>
                <w:sz w:val="18"/>
                <w:szCs w:val="18"/>
              </w:rPr>
            </w:pPr>
            <w:r>
              <w:rPr>
                <w:sz w:val="18"/>
                <w:szCs w:val="18"/>
              </w:rPr>
              <w:t>Restates the operational meaning of statistical significance</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000000"/>
                <w:sz w:val="18"/>
                <w:szCs w:val="18"/>
              </w:rPr>
              <w:t>can / may</w:t>
            </w:r>
          </w:p>
        </w:tc>
        <w:tc>
          <w:tcPr>
            <w:tcW w:w="2769" w:type="dxa"/>
            <w:tcBorders/>
          </w:tcPr>
          <w:p>
            <w:pPr>
              <w:pStyle w:val="normal1"/>
              <w:spacing w:lineRule="auto" w:line="480" w:before="0" w:after="0"/>
              <w:jc w:val="both"/>
              <w:rPr>
                <w:sz w:val="18"/>
                <w:szCs w:val="18"/>
              </w:rPr>
            </w:pPr>
            <w:r>
              <w:rPr>
                <w:sz w:val="18"/>
                <w:szCs w:val="18"/>
              </w:rPr>
              <w:t>Expresses possibility</w:t>
            </w:r>
          </w:p>
        </w:tc>
        <w:tc>
          <w:tcPr>
            <w:tcW w:w="2769" w:type="dxa"/>
            <w:tcBorders/>
          </w:tcPr>
          <w:p>
            <w:pPr>
              <w:pStyle w:val="normal1"/>
              <w:spacing w:lineRule="auto" w:line="480" w:before="0" w:after="0"/>
              <w:jc w:val="both"/>
              <w:rPr>
                <w:sz w:val="18"/>
                <w:szCs w:val="18"/>
              </w:rPr>
            </w:pPr>
            <w:r>
              <w:rPr>
                <w:sz w:val="18"/>
                <w:szCs w:val="18"/>
              </w:rPr>
              <w:t>Expresses capability</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000000"/>
                <w:sz w:val="18"/>
                <w:szCs w:val="18"/>
              </w:rPr>
              <w:t>generally / typically</w:t>
            </w:r>
          </w:p>
        </w:tc>
        <w:tc>
          <w:tcPr>
            <w:tcW w:w="2769" w:type="dxa"/>
            <w:tcBorders/>
          </w:tcPr>
          <w:p>
            <w:pPr>
              <w:pStyle w:val="normal1"/>
              <w:spacing w:lineRule="auto" w:line="480" w:before="0" w:after="0"/>
              <w:jc w:val="both"/>
              <w:rPr>
                <w:sz w:val="18"/>
                <w:szCs w:val="18"/>
              </w:rPr>
            </w:pPr>
            <w:r>
              <w:rPr>
                <w:sz w:val="18"/>
                <w:szCs w:val="18"/>
              </w:rPr>
              <w:t>Qualifies scope</w:t>
            </w:r>
          </w:p>
        </w:tc>
        <w:tc>
          <w:tcPr>
            <w:tcW w:w="2769" w:type="dxa"/>
            <w:tcBorders/>
          </w:tcPr>
          <w:p>
            <w:pPr>
              <w:pStyle w:val="normal1"/>
              <w:spacing w:lineRule="auto" w:line="480" w:before="0" w:after="0"/>
              <w:jc w:val="both"/>
              <w:rPr>
                <w:sz w:val="18"/>
                <w:szCs w:val="18"/>
              </w:rPr>
            </w:pPr>
            <w:r>
              <w:rPr>
                <w:sz w:val="18"/>
                <w:szCs w:val="18"/>
              </w:rPr>
              <w:t>Describes a procedural norm</w:t>
            </w:r>
          </w:p>
        </w:tc>
      </w:tr>
      <w:tr>
        <w:trPr>
          <w:cantSplit w:val="true"/>
        </w:trPr>
        <w:tc>
          <w:tcPr>
            <w:tcW w:w="2769" w:type="dxa"/>
            <w:tcBorders>
              <w:bottom w:val="single" w:sz="18" w:space="0" w:color="000000"/>
            </w:tcBorders>
          </w:tcPr>
          <w:p>
            <w:pPr>
              <w:pStyle w:val="normal1"/>
              <w:spacing w:lineRule="auto" w:line="480" w:before="0" w:after="0"/>
              <w:jc w:val="both"/>
              <w:rPr>
                <w:sz w:val="18"/>
                <w:szCs w:val="18"/>
              </w:rPr>
            </w:pPr>
            <w:r>
              <w:rPr>
                <w:b/>
                <w:bCs/>
                <w:i w:val="false"/>
                <w:iCs w:val="false"/>
                <w:color w:val="000000"/>
                <w:sz w:val="18"/>
                <w:szCs w:val="18"/>
              </w:rPr>
              <w:t>appear / seem</w:t>
            </w:r>
          </w:p>
        </w:tc>
        <w:tc>
          <w:tcPr>
            <w:tcW w:w="2769" w:type="dxa"/>
            <w:tcBorders>
              <w:bottom w:val="single" w:sz="18" w:space="0" w:color="000000"/>
            </w:tcBorders>
          </w:tcPr>
          <w:p>
            <w:pPr>
              <w:pStyle w:val="normal1"/>
              <w:spacing w:lineRule="auto" w:line="480" w:before="0" w:after="0"/>
              <w:jc w:val="both"/>
              <w:rPr>
                <w:sz w:val="18"/>
                <w:szCs w:val="18"/>
              </w:rPr>
            </w:pPr>
            <w:r>
              <w:rPr>
                <w:sz w:val="18"/>
                <w:szCs w:val="18"/>
              </w:rPr>
              <w:t>Expresses result uncertainty</w:t>
            </w:r>
          </w:p>
        </w:tc>
        <w:tc>
          <w:tcPr>
            <w:tcW w:w="2769" w:type="dxa"/>
            <w:tcBorders>
              <w:bottom w:val="single" w:sz="18" w:space="0" w:color="000000"/>
            </w:tcBorders>
          </w:tcPr>
          <w:p>
            <w:pPr>
              <w:pStyle w:val="normal1"/>
              <w:spacing w:lineRule="auto" w:line="480" w:before="0" w:after="0"/>
              <w:jc w:val="both"/>
              <w:rPr>
                <w:sz w:val="18"/>
                <w:szCs w:val="18"/>
              </w:rPr>
            </w:pPr>
            <w:r>
              <w:rPr>
                <w:sz w:val="18"/>
                <w:szCs w:val="18"/>
              </w:rPr>
              <w:t>Indicates location</w:t>
            </w:r>
          </w:p>
        </w:tc>
      </w:tr>
    </w:tbl>
    <w:p>
      <w:pPr>
        <w:pStyle w:val="normal1"/>
        <w:spacing w:lineRule="auto" w:line="480" w:before="0" w:after="40"/>
        <w:ind w:hanging="0"/>
        <w:jc w:val="left"/>
        <w:rPr/>
      </w:pPr>
      <w:r>
        <w:rPr/>
      </w:r>
    </w:p>
    <w:p>
      <w:pPr>
        <w:pStyle w:val="normal1"/>
        <w:spacing w:lineRule="auto" w:line="480" w:before="0" w:after="40"/>
        <w:ind w:hanging="0"/>
        <w:jc w:val="left"/>
        <w:rPr/>
      </w:pPr>
      <w:r>
        <w:rPr>
          <w:sz w:val="22"/>
          <w:szCs w:val="22"/>
        </w:rPr>
        <w:t>Never hedges: ability, future procedure, and procedural necessity (a step required by the method itself).</w:t>
      </w:r>
    </w:p>
    <w:p>
      <w:pPr>
        <w:pStyle w:val="normal1"/>
        <w:spacing w:lineRule="auto" w:line="480" w:before="0" w:after="40"/>
        <w:ind w:hanging="0"/>
        <w:jc w:val="left"/>
        <w:rPr>
          <w:b/>
          <w:bCs/>
        </w:rPr>
      </w:pPr>
      <w:r>
        <w:rPr>
          <w:sz w:val="22"/>
          <w:szCs w:val="22"/>
        </w:rPr>
        <w:t>Quick test for suggest/indicate: “Might this be true?” = hedge. “Should this be done?” = FP-Rec.</w:t>
      </w:r>
    </w:p>
    <w:p>
      <w:pPr>
        <w:pStyle w:val="normal1"/>
        <w:keepNext w:val="true"/>
        <w:spacing w:lineRule="auto" w:line="480" w:before="200" w:after="40"/>
        <w:ind w:hanging="0"/>
        <w:jc w:val="left"/>
        <w:rPr>
          <w:sz w:val="24"/>
          <w:szCs w:val="24"/>
        </w:rPr>
      </w:pPr>
      <w:r>
        <w:rPr>
          <w:b/>
          <w:bCs/>
          <w:sz w:val="24"/>
          <w:szCs w:val="24"/>
        </w:rPr>
        <w:t>MARKING FALSE POSITIVES</w:t>
      </w:r>
    </w:p>
    <w:p>
      <w:pPr>
        <w:pStyle w:val="normal1"/>
        <w:spacing w:lineRule="auto" w:line="480" w:before="0" w:after="40"/>
        <w:ind w:hanging="0"/>
        <w:jc w:val="left"/>
        <w:rPr/>
      </w:pPr>
      <w:r>
        <w:rPr>
          <w:sz w:val="22"/>
          <w:szCs w:val="22"/>
        </w:rPr>
        <w:t>Strike through the token. Write the reason code beside it in grey text.</w:t>
      </w:r>
    </w:p>
    <w:tbl>
      <w:tblPr>
        <w:tblStyle w:val="Table12"/>
        <w:tblW w:w="8307" w:type="dxa"/>
        <w:jc w:val="left"/>
        <w:tblInd w:w="-40" w:type="dxa"/>
        <w:tblLayout w:type="fixed"/>
        <w:tblCellMar>
          <w:top w:w="0" w:type="dxa"/>
          <w:left w:w="108" w:type="dxa"/>
          <w:bottom w:w="0" w:type="dxa"/>
          <w:right w:w="108" w:type="dxa"/>
        </w:tblCellMar>
        <w:tblLook w:val="0400"/>
      </w:tblPr>
      <w:tblGrid>
        <w:gridCol w:w="2769"/>
        <w:gridCol w:w="2769"/>
        <w:gridCol w:w="2769"/>
      </w:tblGrid>
      <w:tr>
        <w:trPr>
          <w:tblHeader w:val="true"/>
          <w:cantSplit w:val="true"/>
        </w:trPr>
        <w:tc>
          <w:tcPr>
            <w:tcW w:w="2769"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Code</w:t>
            </w:r>
          </w:p>
        </w:tc>
        <w:tc>
          <w:tcPr>
            <w:tcW w:w="2769"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Reason</w:t>
            </w:r>
          </w:p>
        </w:tc>
        <w:tc>
          <w:tcPr>
            <w:tcW w:w="2769"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Marked Example</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808080"/>
                <w:sz w:val="18"/>
                <w:szCs w:val="18"/>
              </w:rPr>
              <w:t>FP-Cap</w:t>
            </w:r>
          </w:p>
        </w:tc>
        <w:tc>
          <w:tcPr>
            <w:tcW w:w="2769" w:type="dxa"/>
            <w:tcBorders/>
          </w:tcPr>
          <w:p>
            <w:pPr>
              <w:pStyle w:val="normal1"/>
              <w:spacing w:lineRule="auto" w:line="480" w:before="0" w:after="0"/>
              <w:jc w:val="both"/>
              <w:rPr>
                <w:sz w:val="18"/>
                <w:szCs w:val="18"/>
              </w:rPr>
            </w:pPr>
            <w:r>
              <w:rPr>
                <w:sz w:val="18"/>
                <w:szCs w:val="18"/>
              </w:rPr>
              <w:t>Capability: describes what something is able to do, not uncertainty about whether it will happen. Distinct from inferential “can be concluded / derived / stated / attributed to / seen as,” which stays a hedge.</w:t>
            </w:r>
          </w:p>
        </w:tc>
        <w:tc>
          <w:tcPr>
            <w:tcW w:w="2769" w:type="dxa"/>
            <w:tcBorders/>
          </w:tcPr>
          <w:p>
            <w:pPr>
              <w:pStyle w:val="normal1"/>
              <w:spacing w:lineRule="auto" w:line="480" w:before="0" w:after="0"/>
              <w:jc w:val="both"/>
              <w:rPr>
                <w:sz w:val="18"/>
                <w:szCs w:val="18"/>
              </w:rPr>
            </w:pPr>
            <w:r>
              <w:rPr>
                <w:i w:val="false"/>
                <w:iCs w:val="false"/>
                <w:color w:val="000000"/>
                <w:sz w:val="18"/>
                <w:szCs w:val="18"/>
              </w:rPr>
              <w:t xml:space="preserve">“PCR </w:t>
            </w:r>
            <w:r>
              <w:rPr>
                <w:b/>
                <w:bCs/>
                <w:strike/>
                <w:color w:val="000000"/>
                <w:sz w:val="18"/>
                <w:szCs w:val="18"/>
              </w:rPr>
              <w:t>can</w:t>
            </w:r>
            <w:r>
              <w:rPr>
                <w:i w:val="false"/>
                <w:iCs w:val="false"/>
                <w:color w:val="000000"/>
                <w:sz w:val="18"/>
                <w:szCs w:val="18"/>
              </w:rPr>
              <w:t xml:space="preserve"> (FP-Cap) detect low concentrations.”</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808080"/>
                <w:sz w:val="18"/>
                <w:szCs w:val="18"/>
              </w:rPr>
              <w:t>FP-Rec</w:t>
            </w:r>
          </w:p>
        </w:tc>
        <w:tc>
          <w:tcPr>
            <w:tcW w:w="2769" w:type="dxa"/>
            <w:tcBorders/>
          </w:tcPr>
          <w:p>
            <w:pPr>
              <w:pStyle w:val="normal1"/>
              <w:spacing w:lineRule="auto" w:line="480" w:before="0" w:after="0"/>
              <w:jc w:val="both"/>
              <w:rPr>
                <w:sz w:val="18"/>
                <w:szCs w:val="18"/>
              </w:rPr>
            </w:pPr>
            <w:r>
              <w:rPr>
                <w:sz w:val="18"/>
                <w:szCs w:val="18"/>
              </w:rPr>
              <w:t>Recommendation: expresses what should, needs to, or ought to be done, not uncertainty about a claim.</w:t>
            </w:r>
          </w:p>
        </w:tc>
        <w:tc>
          <w:tcPr>
            <w:tcW w:w="2769" w:type="dxa"/>
            <w:tcBorders/>
          </w:tcPr>
          <w:p>
            <w:pPr>
              <w:pStyle w:val="normal1"/>
              <w:spacing w:lineRule="auto" w:line="480" w:before="0" w:after="0"/>
              <w:jc w:val="both"/>
              <w:rPr>
                <w:sz w:val="18"/>
                <w:szCs w:val="18"/>
              </w:rPr>
            </w:pPr>
            <w:r>
              <w:rPr>
                <w:i w:val="false"/>
                <w:iCs w:val="false"/>
                <w:color w:val="000000"/>
                <w:sz w:val="18"/>
                <w:szCs w:val="18"/>
              </w:rPr>
              <w:t xml:space="preserve">“We </w:t>
            </w:r>
            <w:r>
              <w:rPr>
                <w:b/>
                <w:bCs/>
                <w:strike/>
                <w:color w:val="000000"/>
                <w:sz w:val="18"/>
                <w:szCs w:val="18"/>
              </w:rPr>
              <w:t>suggest</w:t>
            </w:r>
            <w:r>
              <w:rPr>
                <w:i w:val="false"/>
                <w:iCs w:val="false"/>
                <w:color w:val="000000"/>
                <w:sz w:val="18"/>
                <w:szCs w:val="18"/>
              </w:rPr>
              <w:t xml:space="preserve"> (FP-Rec) further research.”</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808080"/>
                <w:sz w:val="18"/>
                <w:szCs w:val="18"/>
              </w:rPr>
              <w:t>FP-Proc</w:t>
            </w:r>
          </w:p>
        </w:tc>
        <w:tc>
          <w:tcPr>
            <w:tcW w:w="2769" w:type="dxa"/>
            <w:tcBorders/>
          </w:tcPr>
          <w:p>
            <w:pPr>
              <w:pStyle w:val="normal1"/>
              <w:spacing w:lineRule="auto" w:line="480" w:before="0" w:after="0"/>
              <w:jc w:val="both"/>
              <w:rPr>
                <w:sz w:val="18"/>
                <w:szCs w:val="18"/>
              </w:rPr>
            </w:pPr>
            <w:r>
              <w:rPr>
                <w:sz w:val="18"/>
                <w:szCs w:val="18"/>
              </w:rPr>
              <w:t>Procedural norm: describes a routine, standard, or established procedure rather than uncertainty about a claim.</w:t>
            </w:r>
          </w:p>
        </w:tc>
        <w:tc>
          <w:tcPr>
            <w:tcW w:w="2769" w:type="dxa"/>
            <w:tcBorders/>
          </w:tcPr>
          <w:p>
            <w:pPr>
              <w:pStyle w:val="normal1"/>
              <w:spacing w:lineRule="auto" w:line="480" w:before="0" w:after="0"/>
              <w:jc w:val="both"/>
              <w:rPr>
                <w:sz w:val="18"/>
                <w:szCs w:val="18"/>
              </w:rPr>
            </w:pPr>
            <w:r>
              <w:rPr>
                <w:i w:val="false"/>
                <w:iCs w:val="false"/>
                <w:color w:val="000000"/>
                <w:sz w:val="18"/>
                <w:szCs w:val="18"/>
              </w:rPr>
              <w:t xml:space="preserve">“Samples were </w:t>
            </w:r>
            <w:r>
              <w:rPr>
                <w:b/>
                <w:bCs/>
                <w:strike/>
                <w:color w:val="000000"/>
                <w:sz w:val="18"/>
                <w:szCs w:val="18"/>
              </w:rPr>
              <w:t>generally</w:t>
            </w:r>
            <w:r>
              <w:rPr>
                <w:i w:val="false"/>
                <w:iCs w:val="false"/>
                <w:color w:val="000000"/>
                <w:sz w:val="18"/>
                <w:szCs w:val="18"/>
              </w:rPr>
              <w:t xml:space="preserve"> (FP-Proc) stored at 4°C.”</w:t>
            </w:r>
          </w:p>
        </w:tc>
      </w:tr>
      <w:tr>
        <w:trPr>
          <w:cantSplit w:val="true"/>
        </w:trPr>
        <w:tc>
          <w:tcPr>
            <w:tcW w:w="2769" w:type="dxa"/>
            <w:tcBorders/>
          </w:tcPr>
          <w:p>
            <w:pPr>
              <w:pStyle w:val="normal1"/>
              <w:spacing w:lineRule="auto" w:line="480" w:before="0" w:after="0"/>
              <w:jc w:val="both"/>
              <w:rPr>
                <w:sz w:val="18"/>
                <w:szCs w:val="18"/>
              </w:rPr>
            </w:pPr>
            <w:r>
              <w:rPr>
                <w:b/>
                <w:bCs/>
                <w:i w:val="false"/>
                <w:iCs w:val="false"/>
                <w:color w:val="808080"/>
                <w:sz w:val="18"/>
                <w:szCs w:val="18"/>
              </w:rPr>
              <w:t>FP-Loc</w:t>
            </w:r>
          </w:p>
        </w:tc>
        <w:tc>
          <w:tcPr>
            <w:tcW w:w="2769" w:type="dxa"/>
            <w:tcBorders/>
          </w:tcPr>
          <w:p>
            <w:pPr>
              <w:pStyle w:val="normal1"/>
              <w:spacing w:lineRule="auto" w:line="480" w:before="0" w:after="0"/>
              <w:jc w:val="both"/>
              <w:rPr>
                <w:sz w:val="18"/>
                <w:szCs w:val="18"/>
              </w:rPr>
            </w:pPr>
            <w:r>
              <w:rPr>
                <w:sz w:val="18"/>
                <w:szCs w:val="18"/>
              </w:rPr>
              <w:t>Location: indicates physical or textual location.</w:t>
            </w:r>
          </w:p>
        </w:tc>
        <w:tc>
          <w:tcPr>
            <w:tcW w:w="2769" w:type="dxa"/>
            <w:tcBorders/>
          </w:tcPr>
          <w:p>
            <w:pPr>
              <w:pStyle w:val="normal1"/>
              <w:spacing w:lineRule="auto" w:line="480" w:before="0" w:after="0"/>
              <w:jc w:val="both"/>
              <w:rPr>
                <w:sz w:val="18"/>
                <w:szCs w:val="18"/>
              </w:rPr>
            </w:pPr>
            <w:r>
              <w:rPr>
                <w:i w:val="false"/>
                <w:iCs w:val="false"/>
                <w:color w:val="000000"/>
                <w:sz w:val="18"/>
                <w:szCs w:val="18"/>
              </w:rPr>
              <w:t xml:space="preserve">“The results </w:t>
            </w:r>
            <w:r>
              <w:rPr>
                <w:b/>
                <w:bCs/>
                <w:strike/>
                <w:color w:val="000000"/>
                <w:sz w:val="18"/>
                <w:szCs w:val="18"/>
              </w:rPr>
              <w:t>appear</w:t>
            </w:r>
            <w:r>
              <w:rPr>
                <w:i w:val="false"/>
                <w:iCs w:val="false"/>
                <w:color w:val="000000"/>
                <w:sz w:val="18"/>
                <w:szCs w:val="18"/>
              </w:rPr>
              <w:t xml:space="preserve"> (FP-Loc) in Table 1.”</w:t>
            </w:r>
          </w:p>
        </w:tc>
      </w:tr>
      <w:tr>
        <w:trPr>
          <w:cantSplit w:val="true"/>
        </w:trPr>
        <w:tc>
          <w:tcPr>
            <w:tcW w:w="2769" w:type="dxa"/>
            <w:tcBorders>
              <w:bottom w:val="single" w:sz="18" w:space="0" w:color="000000"/>
            </w:tcBorders>
          </w:tcPr>
          <w:p>
            <w:pPr>
              <w:pStyle w:val="normal1"/>
              <w:spacing w:lineRule="auto" w:line="480" w:before="0" w:after="0"/>
              <w:jc w:val="both"/>
              <w:rPr>
                <w:sz w:val="18"/>
                <w:szCs w:val="18"/>
              </w:rPr>
            </w:pPr>
            <w:r>
              <w:rPr>
                <w:b/>
                <w:bCs/>
                <w:i w:val="false"/>
                <w:iCs w:val="false"/>
                <w:color w:val="808080"/>
                <w:sz w:val="18"/>
                <w:szCs w:val="18"/>
              </w:rPr>
              <w:t>FP-Gen</w:t>
            </w:r>
          </w:p>
        </w:tc>
        <w:tc>
          <w:tcPr>
            <w:tcW w:w="2769" w:type="dxa"/>
            <w:tcBorders>
              <w:bottom w:val="single" w:sz="18" w:space="0" w:color="000000"/>
            </w:tcBorders>
          </w:tcPr>
          <w:p>
            <w:pPr>
              <w:pStyle w:val="normal1"/>
              <w:spacing w:lineRule="auto" w:line="480" w:before="0" w:after="0"/>
              <w:jc w:val="both"/>
              <w:rPr>
                <w:sz w:val="18"/>
                <w:szCs w:val="18"/>
              </w:rPr>
            </w:pPr>
            <w:r>
              <w:rPr>
                <w:sz w:val="18"/>
                <w:szCs w:val="18"/>
              </w:rPr>
              <w:t>General exclusion: doesn’t fit the codes above. Use for expressions that look hedge-like but don’t express uncertainty (e.g., naming a research topic, pointing to evidence). Note the specific reason in Coder Notes.</w:t>
            </w:r>
          </w:p>
        </w:tc>
        <w:tc>
          <w:tcPr>
            <w:tcW w:w="2769" w:type="dxa"/>
            <w:tcBorders>
              <w:bottom w:val="single" w:sz="18" w:space="0" w:color="000000"/>
            </w:tcBorders>
          </w:tcPr>
          <w:p>
            <w:pPr>
              <w:pStyle w:val="normal1"/>
              <w:spacing w:lineRule="auto" w:line="480" w:before="0" w:after="0"/>
              <w:jc w:val="both"/>
              <w:rPr>
                <w:sz w:val="18"/>
                <w:szCs w:val="18"/>
              </w:rPr>
            </w:pPr>
            <w:r>
              <w:rPr>
                <w:i w:val="false"/>
                <w:iCs w:val="false"/>
                <w:color w:val="000000"/>
                <w:sz w:val="18"/>
                <w:szCs w:val="18"/>
              </w:rPr>
              <w:t xml:space="preserve">“...demonstrated notable antioxidant activity, as </w:t>
            </w:r>
            <w:r>
              <w:rPr>
                <w:b/>
                <w:bCs/>
                <w:strike/>
                <w:color w:val="000000"/>
                <w:sz w:val="18"/>
                <w:szCs w:val="18"/>
              </w:rPr>
              <w:t>indicated</w:t>
            </w:r>
            <w:r>
              <w:rPr>
                <w:i w:val="false"/>
                <w:iCs w:val="false"/>
                <w:color w:val="000000"/>
                <w:sz w:val="18"/>
                <w:szCs w:val="18"/>
              </w:rPr>
              <w:t xml:space="preserve"> (FP-Gen) by the reduction of DPPH radicals.”</w:t>
            </w:r>
          </w:p>
        </w:tc>
      </w:tr>
    </w:tbl>
    <w:p>
      <w:pPr>
        <w:pStyle w:val="normal1"/>
        <w:keepNext w:val="true"/>
        <w:spacing w:lineRule="auto" w:line="480" w:before="200" w:after="40"/>
        <w:ind w:hanging="0"/>
        <w:jc w:val="left"/>
        <w:rPr>
          <w:b/>
          <w:bCs/>
        </w:rPr>
      </w:pPr>
      <w:r>
        <w:rPr>
          <w:b/>
          <w:bCs/>
        </w:rPr>
      </w:r>
    </w:p>
    <w:p>
      <w:pPr>
        <w:pStyle w:val="normal1"/>
        <w:keepNext w:val="true"/>
        <w:spacing w:lineRule="auto" w:line="480" w:before="200" w:after="40"/>
        <w:ind w:hanging="0"/>
        <w:jc w:val="left"/>
        <w:rPr>
          <w:sz w:val="24"/>
          <w:szCs w:val="24"/>
        </w:rPr>
      </w:pPr>
      <w:r>
        <w:rPr>
          <w:b/>
          <w:bCs/>
          <w:sz w:val="24"/>
          <w:szCs w:val="24"/>
        </w:rPr>
        <w:t>UNHEDGED ASSERTIONS (WARRANTED CAUTION, NEUTRAL GREY)</w:t>
      </w:r>
    </w:p>
    <w:p>
      <w:pPr>
        <w:pStyle w:val="normal1"/>
        <w:spacing w:lineRule="auto" w:line="480" w:before="0" w:after="40"/>
        <w:ind w:hanging="0"/>
        <w:jc w:val="left"/>
        <w:rPr/>
      </w:pPr>
      <w:r>
        <w:rPr>
          <w:b/>
          <w:bCs/>
          <w:sz w:val="22"/>
          <w:szCs w:val="22"/>
        </w:rPr>
        <w:t xml:space="preserve">• Mark. </w:t>
      </w:r>
      <w:r>
        <w:rPr>
          <w:sz w:val="22"/>
          <w:szCs w:val="22"/>
        </w:rPr>
        <w:t>Grey-highlight the main assertive verb. Place [G] or [C] beside it (same placement as (EC) on hedges).</w:t>
      </w:r>
    </w:p>
    <w:p>
      <w:pPr>
        <w:pStyle w:val="normal1"/>
        <w:spacing w:lineRule="auto" w:line="480" w:before="0" w:after="40"/>
        <w:ind w:hanging="0"/>
        <w:jc w:val="left"/>
        <w:rPr/>
      </w:pPr>
      <w:r>
        <w:rPr>
          <w:b/>
          <w:bCs/>
          <w:sz w:val="22"/>
          <w:szCs w:val="22"/>
        </w:rPr>
        <w:t xml:space="preserve">• Scope. </w:t>
      </w:r>
      <w:r>
        <w:rPr>
          <w:sz w:val="22"/>
          <w:szCs w:val="22"/>
        </w:rPr>
        <w:t>Only where caution was warranted but absent. Bare trial results, measured findings, and procedure are not marked.</w:t>
      </w:r>
    </w:p>
    <w:p>
      <w:pPr>
        <w:pStyle w:val="normal1"/>
        <w:spacing w:lineRule="auto" w:line="480" w:before="0" w:after="40"/>
        <w:ind w:hanging="0"/>
        <w:jc w:val="left"/>
        <w:rPr/>
      </w:pPr>
      <w:r>
        <w:rPr>
          <w:b/>
          <w:bCs/>
          <w:sz w:val="22"/>
          <w:szCs w:val="22"/>
        </w:rPr>
        <w:t xml:space="preserve">• [G]. </w:t>
      </w:r>
      <w:r>
        <w:rPr>
          <w:sz w:val="22"/>
          <w:szCs w:val="22"/>
        </w:rPr>
        <w:t>Generalization or evaluative ranking beyond the data.</w:t>
      </w:r>
    </w:p>
    <w:p>
      <w:pPr>
        <w:pStyle w:val="normal1"/>
        <w:spacing w:lineRule="auto" w:line="480" w:before="0" w:after="40"/>
        <w:ind w:hanging="0"/>
        <w:jc w:val="left"/>
        <w:rPr/>
      </w:pPr>
      <w:r>
        <w:rPr>
          <w:b/>
          <w:bCs/>
          <w:sz w:val="22"/>
          <w:szCs w:val="22"/>
        </w:rPr>
        <w:t xml:space="preserve">• [C]. </w:t>
      </w:r>
      <w:r>
        <w:rPr>
          <w:sz w:val="22"/>
          <w:szCs w:val="22"/>
        </w:rPr>
        <w:t>Cause-effect or impact stronger than the design supports.</w:t>
      </w:r>
    </w:p>
    <w:p>
      <w:pPr>
        <w:pStyle w:val="normal1"/>
        <w:spacing w:lineRule="auto" w:line="480" w:before="0" w:after="40"/>
        <w:ind w:hanging="0"/>
        <w:jc w:val="left"/>
        <w:rPr/>
      </w:pPr>
      <w:r>
        <w:rPr>
          <w:b/>
          <w:bCs/>
          <w:sz w:val="22"/>
          <w:szCs w:val="22"/>
        </w:rPr>
        <w:t xml:space="preserve">• Record. </w:t>
      </w:r>
      <w:r>
        <w:rPr>
          <w:sz w:val="22"/>
          <w:szCs w:val="22"/>
        </w:rPr>
        <w:t>Full clause in the coding sheet.</w:t>
      </w:r>
    </w:p>
    <w:tbl>
      <w:tblPr>
        <w:tblStyle w:val="Table13"/>
        <w:tblW w:w="8304" w:type="dxa"/>
        <w:jc w:val="left"/>
        <w:tblInd w:w="-40" w:type="dxa"/>
        <w:tblLayout w:type="fixed"/>
        <w:tblCellMar>
          <w:top w:w="0" w:type="dxa"/>
          <w:left w:w="108" w:type="dxa"/>
          <w:bottom w:w="0" w:type="dxa"/>
          <w:right w:w="108" w:type="dxa"/>
        </w:tblCellMar>
        <w:tblLook w:val="0400"/>
      </w:tblPr>
      <w:tblGrid>
        <w:gridCol w:w="2076"/>
        <w:gridCol w:w="2076"/>
        <w:gridCol w:w="2076"/>
        <w:gridCol w:w="2075"/>
      </w:tblGrid>
      <w:tr>
        <w:trPr>
          <w:tblHeader w:val="true"/>
          <w:cantSplit w:val="true"/>
        </w:trPr>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Color</w:t>
            </w:r>
          </w:p>
        </w:tc>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Subtype</w:t>
            </w:r>
          </w:p>
        </w:tc>
        <w:tc>
          <w:tcPr>
            <w:tcW w:w="2076"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Definition</w:t>
            </w:r>
          </w:p>
        </w:tc>
        <w:tc>
          <w:tcPr>
            <w:tcW w:w="2075" w:type="dxa"/>
            <w:tcBorders>
              <w:top w:val="single" w:sz="18"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Highlighted Example</w:t>
            </w:r>
          </w:p>
        </w:tc>
      </w:tr>
      <w:tr>
        <w:trPr>
          <w:cantSplit w:val="true"/>
        </w:trPr>
        <w:tc>
          <w:tcPr>
            <w:tcW w:w="2076" w:type="dxa"/>
            <w:tcBorders/>
            <w:shd w:fill="BFBFBF" w:val="clear"/>
          </w:tcPr>
          <w:p>
            <w:pPr>
              <w:pStyle w:val="normal1"/>
              <w:spacing w:lineRule="auto" w:line="480" w:before="0" w:after="0"/>
              <w:jc w:val="left"/>
              <w:rPr>
                <w:sz w:val="18"/>
                <w:szCs w:val="18"/>
              </w:rPr>
            </w:pPr>
            <w:r>
              <w:rPr>
                <w:sz w:val="18"/>
                <w:szCs w:val="18"/>
                <w:shd w:fill="BFBFBF" w:val="clear"/>
              </w:rPr>
              <w:t>      </w:t>
            </w:r>
          </w:p>
        </w:tc>
        <w:tc>
          <w:tcPr>
            <w:tcW w:w="2076" w:type="dxa"/>
            <w:tcBorders/>
          </w:tcPr>
          <w:p>
            <w:pPr>
              <w:pStyle w:val="normal1"/>
              <w:spacing w:lineRule="auto" w:line="480" w:before="0" w:after="0"/>
              <w:jc w:val="both"/>
              <w:rPr>
                <w:sz w:val="18"/>
                <w:szCs w:val="18"/>
              </w:rPr>
            </w:pPr>
            <w:r>
              <w:rPr>
                <w:sz w:val="18"/>
                <w:szCs w:val="18"/>
              </w:rPr>
              <w:t>Result Claim [R] , Not markable (bare results).</w:t>
            </w:r>
          </w:p>
        </w:tc>
        <w:tc>
          <w:tcPr>
            <w:tcW w:w="2076" w:type="dxa"/>
            <w:tcBorders/>
          </w:tcPr>
          <w:p>
            <w:pPr>
              <w:pStyle w:val="normal1"/>
              <w:spacing w:lineRule="auto" w:line="480" w:before="0" w:after="0"/>
              <w:jc w:val="both"/>
              <w:rPr>
                <w:sz w:val="18"/>
                <w:szCs w:val="18"/>
              </w:rPr>
            </w:pPr>
            <w:r>
              <w:rPr>
                <w:sz w:val="18"/>
                <w:szCs w:val="18"/>
              </w:rPr>
              <w:t>Not markable.</w:t>
            </w:r>
          </w:p>
        </w:tc>
        <w:tc>
          <w:tcPr>
            <w:tcW w:w="2075" w:type="dxa"/>
            <w:tcBorders/>
          </w:tcPr>
          <w:p>
            <w:pPr>
              <w:pStyle w:val="normal1"/>
              <w:spacing w:lineRule="auto" w:line="480" w:before="0" w:after="0"/>
              <w:jc w:val="both"/>
              <w:rPr>
                <w:sz w:val="18"/>
                <w:szCs w:val="18"/>
              </w:rPr>
            </w:pPr>
            <w:r>
              <w:rPr>
                <w:sz w:val="18"/>
                <w:szCs w:val="18"/>
              </w:rPr>
              <w:t>“</w:t>
            </w:r>
            <w:r>
              <w:rPr>
                <w:sz w:val="18"/>
                <w:szCs w:val="18"/>
                <w:shd w:fill="BFBFBF" w:val="clear"/>
              </w:rPr>
              <w:t>was</w:t>
            </w:r>
            <w:r>
              <w:rPr>
                <w:sz w:val="18"/>
                <w:szCs w:val="18"/>
              </w:rPr>
              <w:t xml:space="preserve"> [G] the most compelling…” (mark) vs “Yield higher (p &lt; .05)” (omit).</w:t>
            </w:r>
          </w:p>
        </w:tc>
      </w:tr>
      <w:tr>
        <w:trPr>
          <w:cantSplit w:val="true"/>
        </w:trPr>
        <w:tc>
          <w:tcPr>
            <w:tcW w:w="2076" w:type="dxa"/>
            <w:tcBorders/>
            <w:shd w:fill="BFBFBF" w:val="clear"/>
          </w:tcPr>
          <w:p>
            <w:pPr>
              <w:pStyle w:val="normal1"/>
              <w:spacing w:lineRule="auto" w:line="480" w:before="0" w:after="0"/>
              <w:jc w:val="left"/>
              <w:rPr>
                <w:sz w:val="18"/>
                <w:szCs w:val="18"/>
              </w:rPr>
            </w:pPr>
            <w:r>
              <w:rPr>
                <w:sz w:val="18"/>
                <w:szCs w:val="18"/>
                <w:shd w:fill="BFBFBF" w:val="clear"/>
              </w:rPr>
              <w:t>      </w:t>
            </w:r>
          </w:p>
        </w:tc>
        <w:tc>
          <w:tcPr>
            <w:tcW w:w="2076" w:type="dxa"/>
            <w:tcBorders/>
          </w:tcPr>
          <w:p>
            <w:pPr>
              <w:pStyle w:val="normal1"/>
              <w:spacing w:lineRule="auto" w:line="480" w:before="0" w:after="0"/>
              <w:jc w:val="both"/>
              <w:rPr>
                <w:sz w:val="18"/>
                <w:szCs w:val="18"/>
              </w:rPr>
            </w:pPr>
            <w:r>
              <w:rPr>
                <w:sz w:val="18"/>
                <w:szCs w:val="18"/>
              </w:rPr>
              <w:t>Generalization [G]</w:t>
            </w:r>
          </w:p>
        </w:tc>
        <w:tc>
          <w:tcPr>
            <w:tcW w:w="2076" w:type="dxa"/>
            <w:tcBorders/>
          </w:tcPr>
          <w:p>
            <w:pPr>
              <w:pStyle w:val="normal1"/>
              <w:spacing w:lineRule="auto" w:line="480" w:before="0" w:after="0"/>
              <w:jc w:val="both"/>
              <w:rPr>
                <w:sz w:val="18"/>
                <w:szCs w:val="18"/>
              </w:rPr>
            </w:pPr>
            <w:r>
              <w:rPr>
                <w:sz w:val="18"/>
                <w:szCs w:val="18"/>
              </w:rPr>
              <w:t>Inference or ranking beyond the data.</w:t>
            </w:r>
          </w:p>
        </w:tc>
        <w:tc>
          <w:tcPr>
            <w:tcW w:w="2075" w:type="dxa"/>
            <w:tcBorders/>
          </w:tcPr>
          <w:p>
            <w:pPr>
              <w:pStyle w:val="normal1"/>
              <w:spacing w:lineRule="auto" w:line="480" w:before="0" w:after="0"/>
              <w:jc w:val="both"/>
              <w:rPr>
                <w:sz w:val="18"/>
                <w:szCs w:val="18"/>
              </w:rPr>
            </w:pPr>
            <w:r>
              <w:rPr>
                <w:sz w:val="18"/>
                <w:szCs w:val="18"/>
              </w:rPr>
              <w:t xml:space="preserve">“This </w:t>
            </w:r>
            <w:r>
              <w:rPr>
                <w:sz w:val="18"/>
                <w:szCs w:val="18"/>
                <w:shd w:fill="BFBFBF" w:val="clear"/>
              </w:rPr>
              <w:t>led</w:t>
            </w:r>
            <w:r>
              <w:rPr>
                <w:sz w:val="18"/>
                <w:szCs w:val="18"/>
              </w:rPr>
              <w:t xml:space="preserve"> [G] to the conclusion that all farms were free of it.”</w:t>
            </w:r>
          </w:p>
        </w:tc>
      </w:tr>
      <w:tr>
        <w:trPr>
          <w:cantSplit w:val="true"/>
        </w:trPr>
        <w:tc>
          <w:tcPr>
            <w:tcW w:w="2076" w:type="dxa"/>
            <w:tcBorders>
              <w:bottom w:val="single" w:sz="18" w:space="0" w:color="000000"/>
            </w:tcBorders>
            <w:shd w:fill="BFBFBF" w:val="clear"/>
          </w:tcPr>
          <w:p>
            <w:pPr>
              <w:pStyle w:val="normal1"/>
              <w:spacing w:lineRule="auto" w:line="480" w:before="0" w:after="0"/>
              <w:jc w:val="left"/>
              <w:rPr>
                <w:sz w:val="18"/>
                <w:szCs w:val="18"/>
              </w:rPr>
            </w:pPr>
            <w:r>
              <w:rPr>
                <w:sz w:val="18"/>
                <w:szCs w:val="18"/>
                <w:shd w:fill="BFBFBF" w:val="clear"/>
              </w:rPr>
              <w:t>      </w:t>
            </w:r>
          </w:p>
        </w:tc>
        <w:tc>
          <w:tcPr>
            <w:tcW w:w="2076" w:type="dxa"/>
            <w:tcBorders>
              <w:bottom w:val="single" w:sz="18" w:space="0" w:color="000000"/>
            </w:tcBorders>
          </w:tcPr>
          <w:p>
            <w:pPr>
              <w:pStyle w:val="normal1"/>
              <w:spacing w:lineRule="auto" w:line="480" w:before="0" w:after="0"/>
              <w:jc w:val="both"/>
              <w:rPr>
                <w:sz w:val="18"/>
                <w:szCs w:val="18"/>
              </w:rPr>
            </w:pPr>
            <w:r>
              <w:rPr>
                <w:sz w:val="18"/>
                <w:szCs w:val="18"/>
              </w:rPr>
              <w:t>Causal Claim [C]</w:t>
            </w:r>
          </w:p>
        </w:tc>
        <w:tc>
          <w:tcPr>
            <w:tcW w:w="2076" w:type="dxa"/>
            <w:tcBorders>
              <w:bottom w:val="single" w:sz="18" w:space="0" w:color="000000"/>
            </w:tcBorders>
          </w:tcPr>
          <w:p>
            <w:pPr>
              <w:pStyle w:val="normal1"/>
              <w:spacing w:lineRule="auto" w:line="480" w:before="0" w:after="0"/>
              <w:jc w:val="both"/>
              <w:rPr>
                <w:sz w:val="18"/>
                <w:szCs w:val="18"/>
              </w:rPr>
            </w:pPr>
            <w:r>
              <w:rPr>
                <w:sz w:val="18"/>
                <w:szCs w:val="18"/>
              </w:rPr>
              <w:t>Cause-effect stated as established.</w:t>
            </w:r>
          </w:p>
        </w:tc>
        <w:tc>
          <w:tcPr>
            <w:tcW w:w="2075" w:type="dxa"/>
            <w:tcBorders>
              <w:bottom w:val="single" w:sz="18" w:space="0" w:color="000000"/>
            </w:tcBorders>
          </w:tcPr>
          <w:p>
            <w:pPr>
              <w:pStyle w:val="normal1"/>
              <w:spacing w:lineRule="auto" w:line="480" w:before="0" w:after="0"/>
              <w:jc w:val="both"/>
              <w:rPr>
                <w:sz w:val="18"/>
                <w:szCs w:val="18"/>
              </w:rPr>
            </w:pPr>
            <w:r>
              <w:rPr>
                <w:sz w:val="18"/>
                <w:szCs w:val="18"/>
              </w:rPr>
              <w:t xml:space="preserve">“Extracts </w:t>
            </w:r>
            <w:r>
              <w:rPr>
                <w:sz w:val="18"/>
                <w:szCs w:val="18"/>
                <w:shd w:fill="BFBFBF" w:val="clear"/>
              </w:rPr>
              <w:t>produce</w:t>
            </w:r>
            <w:r>
              <w:rPr>
                <w:sz w:val="18"/>
                <w:szCs w:val="18"/>
              </w:rPr>
              <w:t xml:space="preserve"> [C] comparable staining because they contain similar compounds.”</w:t>
            </w:r>
          </w:p>
        </w:tc>
      </w:tr>
    </w:tbl>
    <w:p>
      <w:pPr>
        <w:pStyle w:val="normal1"/>
        <w:keepNext w:val="true"/>
        <w:spacing w:lineRule="auto" w:line="480" w:before="200" w:after="40"/>
        <w:ind w:hanging="0"/>
        <w:jc w:val="left"/>
        <w:rPr>
          <w:sz w:val="24"/>
          <w:szCs w:val="24"/>
        </w:rPr>
      </w:pPr>
      <w:r>
        <w:br w:type="page"/>
      </w:r>
      <w:r>
        <w:rPr>
          <w:b/>
          <w:bCs/>
          <w:sz w:val="24"/>
          <w:szCs w:val="24"/>
        </w:rPr>
        <w:t>CODING SHEET COLUMNS</w:t>
      </w:r>
    </w:p>
    <w:tbl>
      <w:tblPr>
        <w:tblStyle w:val="Table14"/>
        <w:tblW w:w="8304" w:type="dxa"/>
        <w:jc w:val="left"/>
        <w:tblInd w:w="-40" w:type="dxa"/>
        <w:tblLayout w:type="fixed"/>
        <w:tblCellMar>
          <w:top w:w="0" w:type="dxa"/>
          <w:left w:w="108" w:type="dxa"/>
          <w:bottom w:w="0" w:type="dxa"/>
          <w:right w:w="108" w:type="dxa"/>
        </w:tblCellMar>
        <w:tblLook w:val="0400"/>
      </w:tblPr>
      <w:tblGrid>
        <w:gridCol w:w="1384"/>
        <w:gridCol w:w="1383"/>
        <w:gridCol w:w="1385"/>
        <w:gridCol w:w="1384"/>
        <w:gridCol w:w="1383"/>
        <w:gridCol w:w="1384"/>
      </w:tblGrid>
      <w:tr>
        <w:trPr>
          <w:tblHeader w:val="true"/>
          <w:cantSplit w:val="true"/>
        </w:trPr>
        <w:tc>
          <w:tcPr>
            <w:tcW w:w="1384"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Abstract ID</w:t>
            </w:r>
          </w:p>
        </w:tc>
        <w:tc>
          <w:tcPr>
            <w:tcW w:w="1383"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Sentence #</w:t>
            </w:r>
          </w:p>
        </w:tc>
        <w:tc>
          <w:tcPr>
            <w:tcW w:w="1385"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Clause</w:t>
            </w:r>
          </w:p>
        </w:tc>
        <w:tc>
          <w:tcPr>
            <w:tcW w:w="1384"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Token</w:t>
            </w:r>
          </w:p>
        </w:tc>
        <w:tc>
          <w:tcPr>
            <w:tcW w:w="1383"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Reason Code</w:t>
            </w:r>
          </w:p>
        </w:tc>
        <w:tc>
          <w:tcPr>
            <w:tcW w:w="1384"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Coder Notes</w:t>
            </w:r>
          </w:p>
        </w:tc>
      </w:tr>
      <w:tr>
        <w:trPr>
          <w:cantSplit w:val="true"/>
        </w:trPr>
        <w:tc>
          <w:tcPr>
            <w:tcW w:w="1384"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3"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5"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4"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3"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4"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r>
    </w:tbl>
    <w:p>
      <w:pPr>
        <w:pStyle w:val="normal1"/>
        <w:keepNext w:val="false"/>
        <w:keepLines w:val="false"/>
        <w:pageBreakBefore w:val="false"/>
        <w:widowControl w:val="false"/>
        <w:pBdr/>
        <w:shd w:val="clear" w:fill="auto"/>
        <w:spacing w:lineRule="auto" w:line="480" w:before="0" w:after="0"/>
        <w:ind w:hanging="0" w:left="0" w:right="0"/>
        <w:jc w:val="left"/>
        <w:rPr/>
      </w:pPr>
      <w:r>
        <w:rPr/>
      </w:r>
    </w:p>
    <w:tbl>
      <w:tblPr>
        <w:tblStyle w:val="Table15"/>
        <w:tblW w:w="8304" w:type="dxa"/>
        <w:jc w:val="left"/>
        <w:tblInd w:w="-40" w:type="dxa"/>
        <w:tblLayout w:type="fixed"/>
        <w:tblCellMar>
          <w:top w:w="0" w:type="dxa"/>
          <w:left w:w="108" w:type="dxa"/>
          <w:bottom w:w="0" w:type="dxa"/>
          <w:right w:w="108" w:type="dxa"/>
        </w:tblCellMar>
        <w:tblLook w:val="0400"/>
      </w:tblPr>
      <w:tblGrid>
        <w:gridCol w:w="1384"/>
        <w:gridCol w:w="1383"/>
        <w:gridCol w:w="1385"/>
        <w:gridCol w:w="1384"/>
        <w:gridCol w:w="1383"/>
        <w:gridCol w:w="1384"/>
      </w:tblGrid>
      <w:tr>
        <w:trPr>
          <w:tblHeader w:val="true"/>
          <w:cantSplit w:val="true"/>
        </w:trPr>
        <w:tc>
          <w:tcPr>
            <w:tcW w:w="1384"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Abstract ID</w:t>
            </w:r>
          </w:p>
        </w:tc>
        <w:tc>
          <w:tcPr>
            <w:tcW w:w="1383"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Sentence #</w:t>
            </w:r>
          </w:p>
        </w:tc>
        <w:tc>
          <w:tcPr>
            <w:tcW w:w="1385"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Clause</w:t>
            </w:r>
          </w:p>
        </w:tc>
        <w:tc>
          <w:tcPr>
            <w:tcW w:w="1384"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Subtype</w:t>
            </w:r>
          </w:p>
        </w:tc>
        <w:tc>
          <w:tcPr>
            <w:tcW w:w="1383"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Reverse Test (Y/N)</w:t>
            </w:r>
          </w:p>
        </w:tc>
        <w:tc>
          <w:tcPr>
            <w:tcW w:w="1384"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Coder Notes</w:t>
            </w:r>
          </w:p>
        </w:tc>
      </w:tr>
      <w:tr>
        <w:trPr>
          <w:cantSplit w:val="true"/>
        </w:trPr>
        <w:tc>
          <w:tcPr>
            <w:tcW w:w="1384"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3"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5"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4"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3"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384"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r>
    </w:tbl>
    <w:p>
      <w:pPr>
        <w:pStyle w:val="normal1"/>
        <w:keepNext w:val="false"/>
        <w:keepLines w:val="false"/>
        <w:pageBreakBefore w:val="false"/>
        <w:widowControl w:val="false"/>
        <w:pBdr/>
        <w:shd w:val="clear" w:fill="auto"/>
        <w:spacing w:lineRule="auto" w:line="480" w:before="0" w:after="0"/>
        <w:ind w:hanging="0" w:left="0" w:right="0"/>
        <w:jc w:val="left"/>
        <w:rPr/>
      </w:pPr>
      <w:r>
        <w:rPr/>
      </w:r>
    </w:p>
    <w:tbl>
      <w:tblPr>
        <w:tblStyle w:val="Table16"/>
        <w:tblW w:w="8291" w:type="dxa"/>
        <w:jc w:val="left"/>
        <w:tblInd w:w="-40" w:type="dxa"/>
        <w:tblLayout w:type="fixed"/>
        <w:tblCellMar>
          <w:top w:w="0" w:type="dxa"/>
          <w:left w:w="108" w:type="dxa"/>
          <w:bottom w:w="0" w:type="dxa"/>
          <w:right w:w="108" w:type="dxa"/>
        </w:tblCellMar>
        <w:tblLook w:val="0400"/>
      </w:tblPr>
      <w:tblGrid>
        <w:gridCol w:w="1214"/>
        <w:gridCol w:w="1110"/>
        <w:gridCol w:w="915"/>
        <w:gridCol w:w="900"/>
        <w:gridCol w:w="1038"/>
        <w:gridCol w:w="1037"/>
        <w:gridCol w:w="1039"/>
        <w:gridCol w:w="1037"/>
      </w:tblGrid>
      <w:tr>
        <w:trPr>
          <w:tblHeader w:val="true"/>
          <w:cantSplit w:val="true"/>
        </w:trPr>
        <w:tc>
          <w:tcPr>
            <w:tcW w:w="1214"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Abstract ID</w:t>
            </w:r>
          </w:p>
        </w:tc>
        <w:tc>
          <w:tcPr>
            <w:tcW w:w="1110"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Sentence #</w:t>
            </w:r>
          </w:p>
        </w:tc>
        <w:tc>
          <w:tcPr>
            <w:tcW w:w="915"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Clause</w:t>
            </w:r>
          </w:p>
        </w:tc>
        <w:tc>
          <w:tcPr>
            <w:tcW w:w="900"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Hedge Token</w:t>
            </w:r>
          </w:p>
        </w:tc>
        <w:tc>
          <w:tcPr>
            <w:tcW w:w="1038"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Type</w:t>
            </w:r>
          </w:p>
        </w:tc>
        <w:tc>
          <w:tcPr>
            <w:tcW w:w="1037"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Function</w:t>
            </w:r>
          </w:p>
        </w:tc>
        <w:tc>
          <w:tcPr>
            <w:tcW w:w="1039"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Word Count</w:t>
            </w:r>
          </w:p>
        </w:tc>
        <w:tc>
          <w:tcPr>
            <w:tcW w:w="1037" w:type="dxa"/>
            <w:tcBorders>
              <w:top w:val="single" w:sz="4" w:space="0" w:color="000000"/>
              <w:bottom w:val="single" w:sz="4" w:space="0" w:color="000000"/>
            </w:tcBorders>
            <w:shd w:fill="F2F4F6" w:val="clear"/>
          </w:tcPr>
          <w:p>
            <w:pPr>
              <w:pStyle w:val="normal1"/>
              <w:spacing w:lineRule="auto" w:line="480" w:before="0" w:after="0"/>
              <w:jc w:val="both"/>
              <w:rPr>
                <w:sz w:val="18"/>
                <w:szCs w:val="18"/>
              </w:rPr>
            </w:pPr>
            <w:r>
              <w:rPr>
                <w:b/>
                <w:bCs/>
                <w:sz w:val="18"/>
                <w:szCs w:val="18"/>
              </w:rPr>
              <w:t>Coder Notes</w:t>
            </w:r>
          </w:p>
        </w:tc>
      </w:tr>
      <w:tr>
        <w:trPr>
          <w:cantSplit w:val="true"/>
        </w:trPr>
        <w:tc>
          <w:tcPr>
            <w:tcW w:w="1214"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110"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915"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900"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038"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037"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039"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c>
          <w:tcPr>
            <w:tcW w:w="1037" w:type="dxa"/>
            <w:tcBorders>
              <w:bottom w:val="single" w:sz="4" w:space="0" w:color="000000"/>
            </w:tcBorders>
          </w:tcPr>
          <w:p>
            <w:pPr>
              <w:pStyle w:val="normal1"/>
              <w:spacing w:lineRule="auto" w:line="480" w:before="0" w:after="0"/>
              <w:jc w:val="left"/>
              <w:rPr>
                <w:sz w:val="18"/>
                <w:szCs w:val="18"/>
              </w:rPr>
            </w:pPr>
            <w:r>
              <w:rPr>
                <w:sz w:val="18"/>
                <w:szCs w:val="18"/>
              </w:rPr>
              <w:t xml:space="preserve"> </w:t>
            </w:r>
          </w:p>
        </w:tc>
      </w:tr>
    </w:tbl>
    <w:p>
      <w:pPr>
        <w:pStyle w:val="normal1"/>
        <w:spacing w:lineRule="auto" w:line="480" w:before="0" w:after="40"/>
        <w:ind w:hanging="0"/>
        <w:jc w:val="left"/>
        <w:rPr>
          <w:b/>
          <w:bCs/>
        </w:rPr>
      </w:pPr>
      <w:r>
        <w:rPr>
          <w:b/>
          <w:bCs/>
        </w:rPr>
      </w:r>
    </w:p>
    <w:p>
      <w:pPr>
        <w:pStyle w:val="normal1"/>
        <w:spacing w:lineRule="auto" w:line="480" w:before="0" w:after="40"/>
        <w:ind w:hanging="0"/>
        <w:jc w:val="left"/>
        <w:rPr/>
      </w:pPr>
      <w:r>
        <w:rPr>
          <w:b/>
          <w:bCs/>
          <w:sz w:val="22"/>
          <w:szCs w:val="22"/>
        </w:rPr>
        <w:t xml:space="preserve">• Primary record. </w:t>
      </w:r>
      <w:r>
        <w:rPr>
          <w:sz w:val="22"/>
          <w:szCs w:val="22"/>
        </w:rPr>
        <w:t>Highlighted abstract. Spreadsheet is for tallying and analysis only.</w:t>
      </w:r>
    </w:p>
    <w:p>
      <w:pPr>
        <w:pStyle w:val="normal1"/>
        <w:spacing w:lineRule="auto" w:line="480" w:before="0" w:after="40"/>
        <w:ind w:hanging="0"/>
        <w:jc w:val="left"/>
        <w:rPr/>
      </w:pPr>
      <w:r>
        <w:rPr>
          <w:b/>
          <w:bCs/>
          <w:sz w:val="22"/>
          <w:szCs w:val="22"/>
        </w:rPr>
        <w:t xml:space="preserve">• IDs. </w:t>
      </w:r>
      <w:r>
        <w:rPr>
          <w:sz w:val="22"/>
          <w:szCs w:val="22"/>
        </w:rPr>
        <w:t>Acs1-Acs10, Aas1-Aas10 (Agriculture). VM1-VM20. B1-B20 (Biology).</w:t>
      </w:r>
    </w:p>
    <w:p>
      <w:pPr>
        <w:pStyle w:val="normal1"/>
        <w:spacing w:lineRule="auto" w:line="480" w:before="0" w:after="40"/>
        <w:ind w:hanging="0"/>
        <w:jc w:val="left"/>
        <w:rPr/>
      </w:pPr>
      <w:r>
        <w:rPr>
          <w:b/>
          <w:bCs/>
          <w:sz w:val="22"/>
          <w:szCs w:val="22"/>
        </w:rPr>
        <w:t xml:space="preserve">• Unhedged rows. </w:t>
      </w:r>
      <w:r>
        <w:rPr>
          <w:sz w:val="22"/>
          <w:szCs w:val="22"/>
        </w:rPr>
        <w:t>Separate from hedge tallies. [G]/[C] only for warranted-but-absent caution.</w:t>
      </w:r>
    </w:p>
    <w:p>
      <w:pPr>
        <w:pStyle w:val="normal1"/>
        <w:spacing w:lineRule="auto" w:line="480" w:before="0" w:after="40"/>
        <w:ind w:hanging="0"/>
        <w:jc w:val="left"/>
        <w:rPr/>
      </w:pPr>
      <w:r>
        <w:rPr>
          <w:b/>
          <w:bCs/>
          <w:sz w:val="22"/>
          <w:szCs w:val="22"/>
        </w:rPr>
        <w:t xml:space="preserve">• FP tab. </w:t>
      </w:r>
      <w:r>
        <w:rPr>
          <w:sz w:val="22"/>
          <w:szCs w:val="22"/>
        </w:rPr>
        <w:t>Optional Rejected Candidates tab for FP traceability.</w:t>
      </w:r>
      <w:r>
        <w:br w:type="page"/>
      </w:r>
    </w:p>
    <w:p>
      <w:pPr>
        <w:pStyle w:val="normal1"/>
        <w:spacing w:lineRule="auto" w:line="480" w:before="240" w:after="120"/>
        <w:ind w:hanging="0"/>
        <w:jc w:val="center"/>
        <w:rPr>
          <w:b/>
          <w:bCs/>
          <w:sz w:val="28"/>
          <w:szCs w:val="28"/>
        </w:rPr>
      </w:pPr>
      <w:r>
        <w:rPr>
          <w:b/>
          <w:bCs/>
          <w:sz w:val="28"/>
          <w:szCs w:val="28"/>
        </w:rPr>
      </w:r>
    </w:p>
    <w:p>
      <w:pPr>
        <w:pStyle w:val="normal1"/>
        <w:spacing w:lineRule="auto" w:line="480" w:before="240" w:after="120"/>
        <w:ind w:hanging="0"/>
        <w:jc w:val="center"/>
        <w:rPr/>
      </w:pPr>
      <w:r>
        <w:rPr>
          <w:b/>
          <w:bCs/>
          <w:sz w:val="28"/>
          <w:szCs w:val="28"/>
        </w:rPr>
        <w:t>APPENDIX B: PILOT SAMPLE ANALYSIS AND CODING VERIFICATION</w:t>
      </w:r>
    </w:p>
    <w:p>
      <w:pPr>
        <w:pStyle w:val="normal1"/>
        <w:spacing w:lineRule="auto" w:line="480" w:before="0" w:after="0"/>
        <w:ind w:firstLine="720"/>
        <w:jc w:val="both"/>
        <w:rPr/>
      </w:pPr>
      <w:r>
        <w:rPr/>
      </w:r>
    </w:p>
    <w:p>
      <w:pPr>
        <w:pStyle w:val="normal1"/>
        <w:spacing w:lineRule="auto" w:line="480" w:before="0" w:after="0"/>
        <w:ind w:firstLine="720"/>
        <w:jc w:val="both"/>
        <w:rPr/>
      </w:pPr>
      <w:r>
        <w:rPr>
          <w:sz w:val="22"/>
          <w:szCs w:val="22"/>
        </w:rPr>
        <w:t>Four abstracts drawn from the pre-2023 pool were coded before the main corpus. The goal was to test the scheme, settle borderline cases, and see whether zero-hedge abstracts were common enough to shape the study design. Each abstract is given below with its coding summary.</w:t>
      </w:r>
    </w:p>
    <w:p>
      <w:pPr>
        <w:pStyle w:val="normal1"/>
        <w:spacing w:lineRule="auto" w:line="480" w:before="120" w:after="0"/>
        <w:jc w:val="both"/>
        <w:rPr/>
      </w:pPr>
      <w:r>
        <w:rPr>
          <w:i/>
          <w:iCs/>
          <w:sz w:val="22"/>
          <w:szCs w:val="22"/>
        </w:rPr>
        <w:t>Sample 1: Biology</w:t>
      </w:r>
    </w:p>
    <w:p>
      <w:pPr>
        <w:pStyle w:val="normal1"/>
        <w:spacing w:lineRule="auto" w:line="480" w:before="0" w:after="0"/>
        <w:ind w:firstLine="720"/>
        <w:jc w:val="both"/>
        <w:rPr/>
      </w:pPr>
      <w:r>
        <w:rPr>
          <w:sz w:val="22"/>
          <w:szCs w:val="22"/>
        </w:rPr>
        <w:t>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p>
    <w:p>
      <w:pPr>
        <w:pStyle w:val="normal1"/>
        <w:spacing w:lineRule="auto" w:line="480" w:before="0" w:after="0"/>
        <w:ind w:firstLine="720"/>
        <w:jc w:val="both"/>
        <w:rPr/>
      </w:pPr>
      <w:r>
        <w:rPr>
          <w:sz w:val="22"/>
          <w:szCs w:val="22"/>
        </w:rPr>
        <w:t>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p>
    <w:p>
      <w:pPr>
        <w:pStyle w:val="normal1"/>
        <w:spacing w:lineRule="auto" w:line="480" w:before="0" w:after="0"/>
        <w:ind w:firstLine="720"/>
        <w:jc w:val="both"/>
        <w:rPr/>
      </w:pPr>
      <w:r>
        <w:rPr>
          <w:b/>
          <w:bCs/>
          <w:sz w:val="22"/>
          <w:szCs w:val="22"/>
        </w:rPr>
        <w:t>Hedge Count: 0</w:t>
      </w:r>
    </w:p>
    <w:p>
      <w:pPr>
        <w:pStyle w:val="normal1"/>
        <w:spacing w:lineRule="auto" w:line="480" w:before="0" w:after="0"/>
        <w:ind w:firstLine="720"/>
        <w:jc w:val="both"/>
        <w:rPr/>
      </w:pPr>
      <w:r>
        <w:rPr>
          <w:sz w:val="22"/>
          <w:szCs w:val="22"/>
        </w:rPr>
        <w:t>Analysis: The abstract relies entirely on factive verbs (conducted, showed, led to the conclusion). The final claim is presented as categorical with no qualification.</w:t>
      </w:r>
    </w:p>
    <w:p>
      <w:pPr>
        <w:pStyle w:val="normal1"/>
        <w:spacing w:lineRule="auto" w:line="480" w:before="0" w:after="0"/>
        <w:ind w:firstLine="720"/>
        <w:jc w:val="both"/>
        <w:rPr/>
      </w:pPr>
      <w:r>
        <w:rPr>
          <w:b/>
          <w:bCs/>
          <w:sz w:val="22"/>
          <w:szCs w:val="22"/>
        </w:rPr>
        <w:t xml:space="preserve">Key Excerpt: </w:t>
      </w:r>
      <w:r>
        <w:rPr>
          <w:sz w:val="22"/>
          <w:szCs w:val="22"/>
        </w:rPr>
        <w:t>“The result showed negative results that led to the conclusion that all shrimp farms were free…”</w:t>
      </w:r>
    </w:p>
    <w:p>
      <w:pPr>
        <w:pStyle w:val="normal1"/>
        <w:spacing w:lineRule="auto" w:line="480" w:before="120" w:after="0"/>
        <w:jc w:val="both"/>
        <w:rPr/>
      </w:pPr>
      <w:r>
        <w:rPr>
          <w:i/>
          <w:iCs/>
          <w:sz w:val="22"/>
          <w:szCs w:val="22"/>
        </w:rPr>
        <w:t>Sample 2: Veterinary Medicine</w:t>
      </w:r>
    </w:p>
    <w:p>
      <w:pPr>
        <w:pStyle w:val="normal1"/>
        <w:spacing w:lineRule="auto" w:line="480" w:before="0" w:after="0"/>
        <w:ind w:firstLine="720"/>
        <w:jc w:val="both"/>
        <w:rPr/>
      </w:pPr>
      <w:r>
        <w:rPr>
          <w:sz w:val="22"/>
          <w:szCs w:val="22"/>
        </w:rPr>
        <w:t>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p>
    <w:p>
      <w:pPr>
        <w:pStyle w:val="normal1"/>
        <w:spacing w:lineRule="auto" w:line="480" w:before="0" w:after="0"/>
        <w:ind w:firstLine="720"/>
        <w:jc w:val="both"/>
        <w:rPr/>
      </w:pPr>
      <w:r>
        <w:rPr>
          <w:b/>
          <w:bCs/>
          <w:sz w:val="22"/>
          <w:szCs w:val="22"/>
        </w:rPr>
        <w:t>Hedge Count: 2</w:t>
      </w:r>
    </w:p>
    <w:p>
      <w:pPr>
        <w:pStyle w:val="normal1"/>
        <w:spacing w:lineRule="auto" w:line="480" w:before="0" w:after="0"/>
        <w:ind w:firstLine="720"/>
        <w:jc w:val="both"/>
        <w:rPr/>
      </w:pPr>
      <w:r>
        <w:rPr>
          <w:sz w:val="22"/>
          <w:szCs w:val="22"/>
        </w:rPr>
        <w:t>Analysis: This abstract demonstrates awareness of claim management. Both hedges serve to qualify the final conclusion.</w:t>
      </w:r>
    </w:p>
    <w:p>
      <w:pPr>
        <w:pStyle w:val="normal1"/>
        <w:spacing w:lineRule="auto" w:line="480" w:before="0" w:after="0"/>
        <w:ind w:firstLine="720"/>
        <w:jc w:val="both"/>
        <w:rPr/>
      </w:pPr>
      <w:r>
        <w:rPr>
          <w:b/>
          <w:bCs/>
          <w:sz w:val="22"/>
          <w:szCs w:val="22"/>
        </w:rPr>
        <w:t>Coded Instances:</w:t>
      </w:r>
    </w:p>
    <w:p>
      <w:pPr>
        <w:pStyle w:val="normal1"/>
        <w:spacing w:lineRule="auto" w:line="480" w:before="0" w:after="0"/>
        <w:ind w:firstLine="720"/>
        <w:jc w:val="both"/>
        <w:rPr/>
      </w:pPr>
      <w:r>
        <w:rPr>
          <w:sz w:val="22"/>
          <w:szCs w:val="22"/>
        </w:rPr>
        <w:t>“The results suggested that..” (Lexical Verb - Epistemic Caution)</w:t>
      </w:r>
    </w:p>
    <w:p>
      <w:pPr>
        <w:pStyle w:val="normal1"/>
        <w:spacing w:lineRule="auto" w:line="480" w:before="0" w:after="0"/>
        <w:ind w:firstLine="720"/>
        <w:jc w:val="both"/>
        <w:rPr/>
      </w:pPr>
      <w:r>
        <w:rPr>
          <w:sz w:val="22"/>
          <w:szCs w:val="22"/>
        </w:rPr>
        <w:t>“..extracts are potential alternative stains..” (Lexical Adjective - Epistemic Caution)</w:t>
      </w:r>
    </w:p>
    <w:p>
      <w:pPr>
        <w:pStyle w:val="normal1"/>
        <w:spacing w:lineRule="auto" w:line="480" w:before="0" w:after="0"/>
        <w:ind w:firstLine="720"/>
        <w:jc w:val="both"/>
        <w:rPr/>
      </w:pPr>
      <w:r>
        <w:rPr>
          <w:b/>
          <w:bCs/>
          <w:sz w:val="22"/>
          <w:szCs w:val="22"/>
        </w:rPr>
        <w:t xml:space="preserve">Excluded: </w:t>
      </w:r>
      <w:r>
        <w:rPr>
          <w:sz w:val="22"/>
          <w:szCs w:val="22"/>
        </w:rPr>
        <w:t>“approximately two and one-half” (Procedural measurement, not epistemic).</w:t>
      </w:r>
    </w:p>
    <w:p>
      <w:pPr>
        <w:pStyle w:val="normal1"/>
        <w:spacing w:lineRule="auto" w:line="480" w:before="120" w:after="0"/>
        <w:jc w:val="both"/>
        <w:rPr/>
      </w:pPr>
      <w:r>
        <w:rPr>
          <w:i/>
          <w:iCs/>
          <w:sz w:val="22"/>
          <w:szCs w:val="22"/>
        </w:rPr>
        <w:t>Sample 3: Agriculture (Animal Science)</w:t>
      </w:r>
    </w:p>
    <w:p>
      <w:pPr>
        <w:pStyle w:val="normal1"/>
        <w:spacing w:lineRule="auto" w:line="480" w:before="0" w:after="0"/>
        <w:ind w:firstLine="720"/>
        <w:jc w:val="both"/>
        <w:rPr/>
      </w:pPr>
      <w:r>
        <w:rPr>
          <w:sz w:val="22"/>
          <w:szCs w:val="22"/>
        </w:rPr>
        <w:t>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p>
    <w:p>
      <w:pPr>
        <w:pStyle w:val="normal1"/>
        <w:spacing w:lineRule="auto" w:line="480" w:before="0" w:after="0"/>
        <w:ind w:firstLine="720"/>
        <w:jc w:val="both"/>
        <w:rPr/>
      </w:pPr>
      <w:r>
        <w:rPr>
          <w:sz w:val="22"/>
          <w:szCs w:val="22"/>
        </w:rPr>
        <w:t>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of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p>
    <w:p>
      <w:pPr>
        <w:pStyle w:val="normal1"/>
        <w:spacing w:lineRule="auto" w:line="480" w:before="0" w:after="0"/>
        <w:ind w:firstLine="720"/>
        <w:jc w:val="both"/>
        <w:rPr/>
      </w:pPr>
      <w:r>
        <w:rPr>
          <w:b/>
          <w:bCs/>
          <w:sz w:val="22"/>
          <w:szCs w:val="22"/>
        </w:rPr>
        <w:t>Hedge Count: 0</w:t>
      </w:r>
    </w:p>
    <w:p>
      <w:pPr>
        <w:pStyle w:val="normal1"/>
        <w:spacing w:lineRule="auto" w:line="480" w:before="0" w:after="0"/>
        <w:ind w:firstLine="720"/>
        <w:jc w:val="both"/>
        <w:rPr/>
      </w:pPr>
      <w:r>
        <w:rPr>
          <w:sz w:val="22"/>
          <w:szCs w:val="22"/>
        </w:rPr>
        <w:t>Analysis: The abstract uses factive reporting verbs (showed, revealed). Sensory evaluation ratings are reported as absolute data points. The term “moderately like” describes a Likert scale variable, not an epistemic qualification.</w:t>
      </w:r>
    </w:p>
    <w:p>
      <w:pPr>
        <w:pStyle w:val="normal1"/>
        <w:spacing w:lineRule="auto" w:line="480" w:before="0" w:after="0"/>
        <w:ind w:firstLine="720"/>
        <w:jc w:val="both"/>
        <w:rPr/>
      </w:pPr>
      <w:r>
        <w:rPr>
          <w:b/>
          <w:bCs/>
          <w:sz w:val="22"/>
          <w:szCs w:val="22"/>
        </w:rPr>
        <w:t xml:space="preserve">Key Excerpt: </w:t>
      </w:r>
      <w:r>
        <w:rPr>
          <w:sz w:val="22"/>
          <w:szCs w:val="22"/>
        </w:rPr>
        <w:t>“Results of the study showed that Comparison on Curing Methods…”</w:t>
      </w:r>
    </w:p>
    <w:p>
      <w:pPr>
        <w:pStyle w:val="normal1"/>
        <w:spacing w:lineRule="auto" w:line="480" w:before="120" w:after="0"/>
        <w:jc w:val="both"/>
        <w:rPr/>
      </w:pPr>
      <w:r>
        <w:rPr>
          <w:i/>
          <w:iCs/>
          <w:sz w:val="22"/>
          <w:szCs w:val="22"/>
        </w:rPr>
        <w:t>Sample 4: Agriculture (Crop Science)</w:t>
      </w:r>
    </w:p>
    <w:p>
      <w:pPr>
        <w:pStyle w:val="normal1"/>
        <w:spacing w:lineRule="auto" w:line="480" w:before="0" w:after="0"/>
        <w:ind w:firstLine="720"/>
        <w:jc w:val="both"/>
        <w:rPr/>
      </w:pPr>
      <w:r>
        <w:rPr>
          <w:sz w:val="22"/>
          <w:szCs w:val="22"/>
        </w:rPr>
        <w:t>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p>
    <w:p>
      <w:pPr>
        <w:pStyle w:val="normal1"/>
        <w:spacing w:lineRule="auto" w:line="480" w:before="0" w:after="0"/>
        <w:ind w:firstLine="720"/>
        <w:jc w:val="both"/>
        <w:rPr/>
      </w:pPr>
      <w:r>
        <w:rPr>
          <w:sz w:val="22"/>
          <w:szCs w:val="22"/>
        </w:rPr>
        <w:t>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p>
    <w:p>
      <w:pPr>
        <w:pStyle w:val="normal1"/>
        <w:spacing w:lineRule="auto" w:line="480" w:before="0" w:after="0"/>
        <w:ind w:firstLine="720"/>
        <w:jc w:val="both"/>
        <w:rPr/>
      </w:pPr>
      <w:r>
        <w:rPr>
          <w:b/>
          <w:bCs/>
          <w:sz w:val="22"/>
          <w:szCs w:val="22"/>
        </w:rPr>
        <w:t>Hedge Count: 0</w:t>
      </w:r>
    </w:p>
    <w:p>
      <w:pPr>
        <w:pStyle w:val="normal1"/>
        <w:spacing w:lineRule="auto" w:line="480" w:before="0" w:after="0"/>
        <w:ind w:firstLine="720"/>
        <w:jc w:val="both"/>
        <w:rPr/>
      </w:pPr>
      <w:r>
        <w:rPr>
          <w:sz w:val="22"/>
          <w:szCs w:val="22"/>
        </w:rPr>
        <w:t>Analysis: Statistical significance is reported as fact (revealed significant differences). No devices are used to qualify the biological efficiency or yield claims.</w:t>
      </w:r>
    </w:p>
    <w:p>
      <w:pPr>
        <w:pStyle w:val="normal1"/>
        <w:spacing w:lineRule="auto" w:line="480" w:before="0" w:after="0"/>
        <w:ind w:firstLine="720"/>
        <w:jc w:val="both"/>
        <w:rPr/>
      </w:pPr>
      <w:r>
        <w:rPr>
          <w:sz w:val="22"/>
          <w:szCs w:val="22"/>
        </w:rPr>
        <w:t>Key Excerpt: “Results of the study revealed significant differences.. The highest ROI was obtained…”</w:t>
      </w:r>
    </w:p>
    <w:p>
      <w:pPr>
        <w:pStyle w:val="normal1"/>
        <w:spacing w:lineRule="auto" w:line="480" w:before="0" w:after="0"/>
        <w:jc w:val="both"/>
        <w:rPr/>
      </w:pPr>
      <w:r>
        <w:rPr>
          <w:b/>
          <w:bCs/>
          <w:sz w:val="22"/>
          <w:szCs w:val="22"/>
        </w:rPr>
        <w:t>General observation from the pilot</w:t>
      </w:r>
    </w:p>
    <w:p>
      <w:pPr>
        <w:sectPr>
          <w:headerReference w:type="default" r:id="rId52"/>
          <w:headerReference w:type="first" r:id="rId53"/>
          <w:footerReference w:type="default" r:id="rId54"/>
          <w:footerReference w:type="first" r:id="rId55"/>
          <w:type w:val="nextPage"/>
          <w:pgSz w:w="11906" w:h="16838"/>
          <w:pgMar w:left="2160" w:right="1440" w:gutter="0" w:header="720" w:top="1440" w:footer="720" w:bottom="1440"/>
          <w:pgNumType w:fmt="decimal"/>
          <w:formProt w:val="false"/>
          <w:titlePg/>
          <w:textDirection w:val="lrTb"/>
          <w:docGrid w:type="default" w:linePitch="100" w:charSpace="4096"/>
        </w:sectPr>
        <w:pStyle w:val="normal1"/>
        <w:spacing w:lineRule="auto" w:line="480" w:before="0" w:after="0"/>
        <w:ind w:firstLine="720"/>
        <w:jc w:val="both"/>
        <w:rPr/>
      </w:pPr>
      <w:r>
        <w:rPr>
          <w:sz w:val="22"/>
          <w:szCs w:val="22"/>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br w:type="page"/>
      </w:r>
    </w:p>
    <w:p>
      <w:pPr>
        <w:pStyle w:val="normal1"/>
        <w:keepNext w:val="true"/>
        <w:spacing w:lineRule="auto" w:line="480" w:before="240" w:after="120"/>
        <w:ind w:hanging="0"/>
        <w:jc w:val="center"/>
        <w:rPr>
          <w:b/>
          <w:bCs/>
          <w:sz w:val="28"/>
          <w:szCs w:val="28"/>
        </w:rPr>
      </w:pPr>
      <w:r>
        <w:rPr>
          <w:b/>
          <w:bCs/>
          <w:sz w:val="28"/>
          <w:szCs w:val="28"/>
        </w:rPr>
      </w:r>
    </w:p>
    <w:p>
      <w:pPr>
        <w:pStyle w:val="normal1"/>
        <w:keepNext w:val="true"/>
        <w:spacing w:lineRule="auto" w:line="480" w:before="240" w:after="120"/>
        <w:ind w:hanging="0"/>
        <w:jc w:val="center"/>
        <w:rPr/>
      </w:pPr>
      <w:r>
        <w:rPr>
          <w:b/>
          <w:bCs/>
          <w:sz w:val="28"/>
          <w:szCs w:val="28"/>
        </w:rPr>
        <w:t>APPENDIX C: CODED CORPUS WITH HIGHLIGHTS</w:t>
      </w:r>
    </w:p>
    <w:p>
      <w:pPr>
        <w:pStyle w:val="normal1"/>
        <w:spacing w:lineRule="auto" w:line="480" w:before="0" w:after="0"/>
        <w:ind w:firstLine="720"/>
        <w:jc w:val="both"/>
        <w:rPr/>
      </w:pPr>
      <w:r>
        <w:rPr/>
      </w:r>
    </w:p>
    <w:p>
      <w:pPr>
        <w:pStyle w:val="normal1"/>
        <w:spacing w:lineRule="auto" w:line="480" w:before="0" w:after="0"/>
        <w:ind w:firstLine="720"/>
        <w:jc w:val="both"/>
        <w:rPr/>
      </w:pPr>
      <w:r>
        <w:rPr>
          <w:sz w:val="22"/>
          <w:szCs w:val="22"/>
        </w:rPr>
        <w:t>This appendix presents the 60 abstracts with all coding marks applied. Type marks = color highlight on hedge tokens (blue = Modal Verbs, red = Lexical Hedges, yellow = Adverbial Hedges, green = Clause-Level Hedges). Function marks = function label in colored text (EC = orange, P = purple). Function labels in this appendix are only EC and P. False positives = strikethrough + reason code in grey (e.g. FP-Rec = recommendation). Unhedged assertions = grey highlight + [G]/[C] bracket (warranted-but-absent caution only).</w:t>
      </w:r>
    </w:p>
    <w:p>
      <w:pPr>
        <w:pStyle w:val="normal1"/>
        <w:keepNext w:val="true"/>
        <w:keepLines/>
        <w:spacing w:lineRule="auto" w:line="480" w:before="240" w:after="0"/>
        <w:ind w:hanging="0" w:left="0"/>
        <w:jc w:val="both"/>
        <w:rPr>
          <w:sz w:val="24"/>
          <w:szCs w:val="24"/>
        </w:rPr>
      </w:pPr>
      <w:r>
        <w:rPr>
          <w:b/>
          <w:bCs/>
          <w:sz w:val="24"/>
          <w:szCs w:val="24"/>
        </w:rPr>
        <w:t>Biology (B1–B20)</w:t>
      </w:r>
    </w:p>
    <w:p>
      <w:pPr>
        <w:pStyle w:val="normal1"/>
        <w:keepNext w:val="true"/>
        <w:spacing w:lineRule="auto" w:line="480" w:before="0" w:after="0"/>
        <w:ind w:firstLine="720"/>
        <w:jc w:val="both"/>
        <w:rPr>
          <w:b/>
          <w:bCs/>
        </w:rPr>
      </w:pPr>
      <w:r>
        <w:rPr>
          <w:b/>
          <w:bCs/>
          <w:sz w:val="22"/>
          <w:szCs w:val="22"/>
        </w:rPr>
        <w:t>B1 · 258 words · 2 hedges · 0.78 per 100 words</w:t>
      </w:r>
    </w:p>
    <w:p>
      <w:pPr>
        <w:pStyle w:val="normal1"/>
        <w:spacing w:lineRule="auto" w:line="480" w:before="0" w:after="0"/>
        <w:ind w:firstLine="720"/>
        <w:jc w:val="both"/>
        <w:rPr/>
      </w:pPr>
      <w:r>
        <w:rPr>
          <w:strike w:val="false"/>
          <w:dstrike w:val="false"/>
          <w:color w:val="000000"/>
          <w:sz w:val="22"/>
          <w:szCs w:val="22"/>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Bacillus subtilis BIOTECH 1679 was assessed under greenhouse conditions. Results </w:t>
      </w:r>
      <w:r>
        <w:rPr>
          <w:strike/>
          <w:color w:val="000000"/>
          <w:sz w:val="22"/>
          <w:szCs w:val="22"/>
        </w:rPr>
        <w:t>indicated</w:t>
      </w:r>
      <w:r>
        <w:rPr>
          <w:strike w:val="false"/>
          <w:dstrike w:val="false"/>
          <w:color w:val="808080"/>
          <w:sz w:val="22"/>
          <w:szCs w:val="22"/>
        </w:rPr>
        <w:t xml:space="preserve"> (FP-Gen)</w:t>
      </w:r>
      <w:r>
        <w:rPr>
          <w:rFonts w:eastAsia="Caudex" w:cs="Caudex" w:ascii="Caudex" w:hAnsi="Caudex"/>
          <w:strike w:val="false"/>
          <w:dstrike w:val="false"/>
          <w:color w:val="000000"/>
          <w:sz w:val="22"/>
          <w:szCs w:val="22"/>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strike w:val="false"/>
          <w:dstrike w:val="false"/>
          <w:color w:val="FFFFFF"/>
          <w:sz w:val="22"/>
          <w:szCs w:val="22"/>
          <w:highlight w:val="red"/>
        </w:rPr>
        <w:t>implies</w:t>
      </w:r>
      <w:r>
        <w:rPr>
          <w:strike w:val="false"/>
          <w:dstrike w:val="false"/>
          <w:color w:val="ED7D31"/>
          <w:sz w:val="22"/>
          <w:szCs w:val="22"/>
        </w:rPr>
        <w:t xml:space="preserve"> (EC)</w:t>
      </w:r>
      <w:r>
        <w:rPr>
          <w:rFonts w:eastAsia="Gungsuh" w:cs="Gungsuh" w:ascii="Gungsuh" w:hAnsi="Gungsuh"/>
          <w:strike w:val="false"/>
          <w:dstrike w:val="false"/>
          <w:color w:val="000000"/>
          <w:sz w:val="22"/>
          <w:szCs w:val="22"/>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of B. subtilis as a sustainable solution for managing onion supply demands, contributing to eco-friendly and alternative strategies in agriculture from local to global use.</w:t>
      </w:r>
    </w:p>
    <w:p>
      <w:pPr>
        <w:pStyle w:val="normal1"/>
        <w:keepNext w:val="true"/>
        <w:spacing w:lineRule="auto" w:line="480" w:before="0" w:after="0"/>
        <w:ind w:firstLine="720"/>
        <w:jc w:val="both"/>
        <w:rPr>
          <w:b/>
          <w:bCs/>
        </w:rPr>
      </w:pPr>
      <w:r>
        <w:rPr>
          <w:b/>
          <w:bCs/>
          <w:sz w:val="22"/>
          <w:szCs w:val="22"/>
        </w:rPr>
        <w:t>B2 · 189 words · 0 hedges · 0.0 per 100 words</w:t>
      </w:r>
    </w:p>
    <w:p>
      <w:pPr>
        <w:pStyle w:val="normal1"/>
        <w:spacing w:lineRule="auto" w:line="480" w:before="0" w:after="0"/>
        <w:ind w:firstLine="720"/>
        <w:jc w:val="both"/>
        <w:rPr/>
      </w:pPr>
      <w:r>
        <w:rPr>
          <w:strike w:val="false"/>
          <w:dstrike w:val="false"/>
          <w:color w:val="000000"/>
          <w:sz w:val="22"/>
          <w:szCs w:val="22"/>
        </w:rPr>
        <w:t>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indicate (FP-Proc) the zone of inhibition in the evaluation of Antibacterial potential (FP-Gen) of Balitbitan on Mueller Hinton Agar. The treatment was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pPr>
        <w:pStyle w:val="normal1"/>
        <w:keepNext w:val="true"/>
        <w:spacing w:lineRule="auto" w:line="480" w:before="0" w:after="0"/>
        <w:ind w:firstLine="720"/>
        <w:jc w:val="both"/>
        <w:rPr>
          <w:b/>
          <w:bCs/>
        </w:rPr>
      </w:pPr>
      <w:r>
        <w:rPr>
          <w:b/>
          <w:bCs/>
          <w:sz w:val="22"/>
          <w:szCs w:val="22"/>
        </w:rPr>
        <w:t>B3 · 142 words · 1 hedges · 0.7 per 100 words</w:t>
      </w:r>
    </w:p>
    <w:p>
      <w:pPr>
        <w:pStyle w:val="normal1"/>
        <w:spacing w:lineRule="auto" w:line="480" w:before="0" w:after="0"/>
        <w:ind w:firstLine="720"/>
        <w:jc w:val="both"/>
        <w:rPr/>
      </w:pPr>
      <w:r>
        <w:rPr>
          <w:strike w:val="false"/>
          <w:dstrike w:val="false"/>
          <w:color w:val="000000"/>
          <w:sz w:val="22"/>
          <w:szCs w:val="22"/>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strike w:val="false"/>
          <w:dstrike w:val="false"/>
          <w:color w:val="FFFFFF"/>
          <w:sz w:val="22"/>
          <w:szCs w:val="22"/>
          <w:highlight w:val="red"/>
        </w:rPr>
        <w:t>indicating</w:t>
      </w:r>
      <w:r>
        <w:rPr>
          <w:strike w:val="false"/>
          <w:dstrike w:val="false"/>
          <w:color w:val="ED7D31"/>
          <w:sz w:val="22"/>
          <w:szCs w:val="22"/>
        </w:rPr>
        <w:t xml:space="preserve"> (EC)</w:t>
      </w:r>
      <w:r>
        <w:rPr>
          <w:strike w:val="false"/>
          <w:dstrike w:val="false"/>
          <w:color w:val="000000"/>
          <w:sz w:val="22"/>
          <w:szCs w:val="22"/>
        </w:rPr>
        <w:t xml:space="preserve"> unsafe conditions for water consumption for November and December. In addition, lead levels were within safe limits, while mercury levels in soil exceeded recommended guidelines, raising further concerns about environmental health.</w:t>
      </w:r>
    </w:p>
    <w:p>
      <w:pPr>
        <w:pStyle w:val="normal1"/>
        <w:keepNext w:val="true"/>
        <w:spacing w:lineRule="auto" w:line="480" w:before="0" w:after="0"/>
        <w:ind w:firstLine="720"/>
        <w:jc w:val="both"/>
        <w:rPr>
          <w:b/>
          <w:bCs/>
        </w:rPr>
      </w:pPr>
      <w:r>
        <w:rPr>
          <w:b/>
          <w:bCs/>
          <w:sz w:val="22"/>
          <w:szCs w:val="22"/>
        </w:rPr>
        <w:t>B4 · 231 words · 3 hedges · 1.3 per 100 words</w:t>
      </w:r>
    </w:p>
    <w:p>
      <w:pPr>
        <w:pStyle w:val="normal1"/>
        <w:spacing w:lineRule="auto" w:line="480" w:before="0" w:after="0"/>
        <w:ind w:firstLine="720"/>
        <w:jc w:val="both"/>
        <w:rPr/>
      </w:pPr>
      <w:r>
        <w:rPr>
          <w:strike w:val="false"/>
          <w:dstrike w:val="false"/>
          <w:color w:val="000000"/>
          <w:sz w:val="22"/>
          <w:szCs w:val="22"/>
        </w:rPr>
        <w:t xml:space="preserve">This study evaluated the acute toxicity and antitussive activity of Mimosa pudica (Makahiya) ethanolic extract in ICR mice to assess its safety and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strike/>
          <w:color w:val="000000"/>
          <w:sz w:val="22"/>
          <w:szCs w:val="22"/>
        </w:rPr>
        <w:t>indicating</w:t>
      </w:r>
      <w:r>
        <w:rPr>
          <w:strike w:val="false"/>
          <w:dstrike w:val="false"/>
          <w:color w:val="808080"/>
          <w:sz w:val="22"/>
          <w:szCs w:val="22"/>
        </w:rPr>
        <w:t xml:space="preserve"> (FP-Gen)</w:t>
      </w:r>
      <w:r>
        <w:rPr>
          <w:strike w:val="false"/>
          <w:dstrike w:val="false"/>
          <w:color w:val="000000"/>
          <w:sz w:val="22"/>
          <w:szCs w:val="22"/>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strike w:val="false"/>
          <w:dstrike w:val="false"/>
          <w:color w:val="FFFFFF"/>
          <w:sz w:val="22"/>
          <w:szCs w:val="22"/>
          <w:highlight w:val="red"/>
        </w:rPr>
        <w:t>suggest</w:t>
      </w:r>
      <w:r>
        <w:rPr>
          <w:strike w:val="false"/>
          <w:dstrike w:val="false"/>
          <w:color w:val="ED7D31"/>
          <w:sz w:val="22"/>
          <w:szCs w:val="22"/>
        </w:rPr>
        <w:t xml:space="preserve"> (EC)</w:t>
      </w:r>
      <w:r>
        <w:rPr>
          <w:strike w:val="false"/>
          <w:dstrike w:val="false"/>
          <w:color w:val="000000"/>
          <w:sz w:val="22"/>
          <w:szCs w:val="22"/>
        </w:rPr>
        <w:t xml:space="preserve"> that Mimosa pudica has promising antitussive properties and a wide safety margin, supporting its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as an accessible herbal alternative for managing cough. The presence of bioactive compounds such as flavonoids and saponins </w:t>
      </w:r>
      <w:r>
        <w:rPr>
          <w:strike w:val="false"/>
          <w:dstrike w:val="false"/>
          <w:color w:val="000000"/>
          <w:sz w:val="22"/>
          <w:szCs w:val="22"/>
          <w:shd w:fill="00B0F0" w:val="clear"/>
        </w:rPr>
        <w:t>may</w:t>
      </w:r>
      <w:r>
        <w:rPr>
          <w:strike w:val="false"/>
          <w:dstrike w:val="false"/>
          <w:color w:val="ED7D31"/>
          <w:sz w:val="22"/>
          <w:szCs w:val="22"/>
        </w:rPr>
        <w:t xml:space="preserve"> (EC)</w:t>
      </w:r>
      <w:r>
        <w:rPr>
          <w:strike w:val="false"/>
          <w:dstrike w:val="false"/>
          <w:color w:val="000000"/>
          <w:sz w:val="22"/>
          <w:szCs w:val="22"/>
        </w:rPr>
        <w:t xml:space="preserve"> contribute to its therapeutic effects. Further studies are </w:t>
      </w:r>
      <w:r>
        <w:rPr>
          <w:strike/>
          <w:color w:val="000000"/>
          <w:sz w:val="22"/>
          <w:szCs w:val="22"/>
        </w:rPr>
        <w:t>recommended</w:t>
      </w:r>
      <w:r>
        <w:rPr>
          <w:strike w:val="false"/>
          <w:dstrike w:val="false"/>
          <w:color w:val="808080"/>
          <w:sz w:val="22"/>
          <w:szCs w:val="22"/>
        </w:rPr>
        <w:t xml:space="preserve"> (FP-Rec)</w:t>
      </w:r>
      <w:r>
        <w:rPr>
          <w:strike w:val="false"/>
          <w:dstrike w:val="false"/>
          <w:color w:val="000000"/>
          <w:sz w:val="22"/>
          <w:szCs w:val="22"/>
        </w:rPr>
        <w:t xml:space="preserve"> to confirm its long-term safety, refine dosing, and better understand its mechanisms of action.</w:t>
      </w:r>
    </w:p>
    <w:p>
      <w:pPr>
        <w:pStyle w:val="normal1"/>
        <w:keepNext w:val="true"/>
        <w:spacing w:lineRule="auto" w:line="480" w:before="0" w:after="0"/>
        <w:ind w:firstLine="720"/>
        <w:jc w:val="both"/>
        <w:rPr>
          <w:b/>
          <w:bCs/>
        </w:rPr>
      </w:pPr>
      <w:r>
        <w:rPr>
          <w:b/>
          <w:bCs/>
          <w:sz w:val="22"/>
          <w:szCs w:val="22"/>
        </w:rPr>
        <w:t>B5 · 245 words · 1 hedges · 0.41 per 100 words</w:t>
      </w:r>
    </w:p>
    <w:p>
      <w:pPr>
        <w:pStyle w:val="normal1"/>
        <w:spacing w:lineRule="auto" w:line="480" w:before="0" w:after="0"/>
        <w:ind w:firstLine="720"/>
        <w:jc w:val="both"/>
        <w:rPr/>
      </w:pPr>
      <w:r>
        <w:rPr>
          <w:strike w:val="false"/>
          <w:dstrike w:val="false"/>
          <w:color w:val="000000"/>
          <w:sz w:val="22"/>
          <w:szCs w:val="22"/>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strike/>
          <w:color w:val="000000"/>
          <w:sz w:val="22"/>
          <w:szCs w:val="22"/>
        </w:rPr>
        <w:t>indicating</w:t>
      </w:r>
      <w:r>
        <w:rPr>
          <w:strike w:val="false"/>
          <w:dstrike w:val="false"/>
          <w:color w:val="808080"/>
          <w:sz w:val="22"/>
          <w:szCs w:val="22"/>
        </w:rPr>
        <w:t xml:space="preserve"> (FP-Gen)</w:t>
      </w:r>
      <w:r>
        <w:rPr>
          <w:strike w:val="false"/>
          <w:dstrike w:val="false"/>
          <w:color w:val="000000"/>
          <w:sz w:val="22"/>
          <w:szCs w:val="22"/>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antioxidant and antibacterial sources.</w:t>
      </w:r>
    </w:p>
    <w:p>
      <w:pPr>
        <w:pStyle w:val="normal1"/>
        <w:keepNext w:val="true"/>
        <w:spacing w:lineRule="auto" w:line="480" w:before="0" w:after="0"/>
        <w:ind w:firstLine="720"/>
        <w:jc w:val="both"/>
        <w:rPr>
          <w:b/>
          <w:bCs/>
        </w:rPr>
      </w:pPr>
      <w:r>
        <w:rPr>
          <w:b/>
          <w:bCs/>
          <w:sz w:val="22"/>
          <w:szCs w:val="22"/>
        </w:rPr>
        <w:t>B6 · 232 words · 0 hedges · 0.0 per 100 words</w:t>
      </w:r>
    </w:p>
    <w:p>
      <w:pPr>
        <w:pStyle w:val="normal1"/>
        <w:spacing w:lineRule="auto" w:line="480" w:before="0" w:after="0"/>
        <w:ind w:firstLine="720"/>
        <w:jc w:val="both"/>
        <w:rPr/>
      </w:pPr>
      <w:r>
        <w:rPr>
          <w:strike w:val="false"/>
          <w:dstrike w:val="false"/>
          <w:color w:val="000000"/>
          <w:sz w:val="22"/>
          <w:szCs w:val="22"/>
        </w:rPr>
        <w:t xml:space="preserve">The study </w:t>
      </w:r>
      <w:r>
        <w:rPr>
          <w:strike/>
          <w:color w:val="000000"/>
          <w:sz w:val="22"/>
          <w:szCs w:val="22"/>
        </w:rPr>
        <w:t>would</w:t>
      </w:r>
      <w:r>
        <w:rPr>
          <w:strike w:val="false"/>
          <w:dstrike w:val="false"/>
          <w:color w:val="808080"/>
          <w:sz w:val="22"/>
          <w:szCs w:val="22"/>
        </w:rPr>
        <w:t xml:space="preserve"> (FP-Gen)</w:t>
      </w:r>
      <w:r>
        <w:rPr>
          <w:strike w:val="false"/>
          <w:dstrike w:val="false"/>
          <w:color w:val="000000"/>
          <w:sz w:val="22"/>
          <w:szCs w:val="22"/>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in the optimization process, varying ratios of UCO </w:t>
      </w:r>
      <w:r>
        <w:rPr>
          <w:strike w:val="false"/>
          <w:dstrike w:val="false"/>
          <w:color w:val="000000"/>
          <w:sz w:val="22"/>
          <w:szCs w:val="22"/>
          <w:shd w:fill="BFBFBF" w:val="clear"/>
        </w:rPr>
        <w:t>was</w:t>
      </w:r>
      <w:r>
        <w:rPr>
          <w:strike w:val="false"/>
          <w:dstrike w:val="false"/>
          <w:color w:val="000000"/>
          <w:sz w:val="22"/>
          <w:szCs w:val="22"/>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 further research </w:t>
      </w:r>
      <w:r>
        <w:rPr>
          <w:strike/>
          <w:color w:val="000000"/>
          <w:sz w:val="22"/>
          <w:szCs w:val="22"/>
        </w:rPr>
        <w:t>will</w:t>
      </w:r>
      <w:r>
        <w:rPr>
          <w:strike w:val="false"/>
          <w:dstrike w:val="false"/>
          <w:color w:val="808080"/>
          <w:sz w:val="22"/>
          <w:szCs w:val="22"/>
        </w:rPr>
        <w:t xml:space="preserve"> (FP-Gen)</w:t>
      </w:r>
      <w:r>
        <w:rPr>
          <w:strike w:val="false"/>
          <w:dstrike w:val="false"/>
          <w:color w:val="000000"/>
          <w:sz w:val="22"/>
          <w:szCs w:val="22"/>
        </w:rPr>
        <w:t xml:space="preserve"> aid in underlining the importance of optimizing the ingredient ratios to acquire desirable quality eco-bricks for sustainable construction applications.</w:t>
      </w:r>
    </w:p>
    <w:p>
      <w:pPr>
        <w:pStyle w:val="normal1"/>
        <w:keepNext w:val="true"/>
        <w:spacing w:lineRule="auto" w:line="480" w:before="0" w:after="0"/>
        <w:ind w:firstLine="720"/>
        <w:jc w:val="both"/>
        <w:rPr>
          <w:b/>
          <w:bCs/>
        </w:rPr>
      </w:pPr>
      <w:r>
        <w:rPr>
          <w:b/>
          <w:bCs/>
          <w:sz w:val="22"/>
          <w:szCs w:val="22"/>
        </w:rPr>
        <w:t>B7 · 266 words · 3 hedges · 1.13 per 100 words</w:t>
      </w:r>
    </w:p>
    <w:p>
      <w:pPr>
        <w:pStyle w:val="normal1"/>
        <w:spacing w:lineRule="auto" w:line="480" w:before="0" w:after="0"/>
        <w:ind w:firstLine="720"/>
        <w:jc w:val="both"/>
        <w:rPr/>
      </w:pPr>
      <w:r>
        <w:rPr>
          <w:strike w:val="false"/>
          <w:dstrike w:val="false"/>
          <w:color w:val="000000"/>
          <w:sz w:val="22"/>
          <w:szCs w:val="22"/>
        </w:rPr>
        <w:t xml:space="preserve">The study </w:t>
      </w:r>
      <w:r>
        <w:rPr>
          <w:strike/>
          <w:color w:val="000000"/>
          <w:sz w:val="22"/>
          <w:szCs w:val="22"/>
        </w:rPr>
        <w:t>generally</w:t>
      </w:r>
      <w:r>
        <w:rPr>
          <w:strike w:val="false"/>
          <w:dstrike w:val="false"/>
          <w:color w:val="808080"/>
          <w:sz w:val="22"/>
          <w:szCs w:val="22"/>
        </w:rPr>
        <w:t xml:space="preserve"> (FP-Proc)</w:t>
      </w:r>
      <w:r>
        <w:rPr>
          <w:strike w:val="false"/>
          <w:dstrike w:val="false"/>
          <w:color w:val="000000"/>
          <w:sz w:val="22"/>
          <w:szCs w:val="22"/>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strike w:val="false"/>
          <w:dstrike w:val="false"/>
          <w:color w:val="FFFFFF"/>
          <w:sz w:val="22"/>
          <w:szCs w:val="22"/>
          <w:highlight w:val="red"/>
        </w:rPr>
        <w:t>suggesting</w:t>
      </w:r>
      <w:r>
        <w:rPr>
          <w:strike w:val="false"/>
          <w:dstrike w:val="false"/>
          <w:color w:val="ED7D31"/>
          <w:sz w:val="22"/>
          <w:szCs w:val="22"/>
        </w:rPr>
        <w:t xml:space="preserve"> (EC)</w:t>
      </w:r>
      <w:r>
        <w:rPr>
          <w:strike w:val="false"/>
          <w:dstrike w:val="false"/>
          <w:color w:val="000000"/>
          <w:sz w:val="22"/>
          <w:szCs w:val="22"/>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strike w:val="false"/>
          <w:dstrike w:val="false"/>
          <w:color w:val="FFFFFF"/>
          <w:sz w:val="22"/>
          <w:szCs w:val="22"/>
          <w:highlight w:val="red"/>
        </w:rPr>
        <w:t>inferring</w:t>
      </w:r>
      <w:r>
        <w:rPr>
          <w:strike w:val="false"/>
          <w:dstrike w:val="false"/>
          <w:color w:val="ED7D31"/>
          <w:sz w:val="22"/>
          <w:szCs w:val="22"/>
        </w:rPr>
        <w:t xml:space="preserve"> (EC)</w:t>
      </w:r>
      <w:r>
        <w:rPr>
          <w:strike w:val="false"/>
          <w:dstrike w:val="false"/>
          <w:color w:val="000000"/>
          <w:sz w:val="22"/>
          <w:szCs w:val="22"/>
        </w:rPr>
        <w:t xml:space="preserve"> that such observation was induced by the Z. talanai-infused nanozeolite pellet suspension. Hence, the biosynthesis of Z. talanai-infused nanozeolite pellets is feasible and </w:t>
      </w:r>
      <w:r>
        <w:rPr>
          <w:strike w:val="false"/>
          <w:dstrike w:val="false"/>
          <w:color w:val="000000"/>
          <w:sz w:val="22"/>
          <w:szCs w:val="22"/>
          <w:shd w:fill="00B0F0" w:val="clear"/>
        </w:rPr>
        <w:t>may</w:t>
      </w:r>
      <w:r>
        <w:rPr>
          <w:strike w:val="false"/>
          <w:dstrike w:val="false"/>
          <w:color w:val="ED7D31"/>
          <w:sz w:val="22"/>
          <w:szCs w:val="22"/>
        </w:rPr>
        <w:t xml:space="preserve"> (EC)</w:t>
      </w:r>
      <w:r>
        <w:rPr>
          <w:strike w:val="false"/>
          <w:dstrike w:val="false"/>
          <w:color w:val="000000"/>
          <w:sz w:val="22"/>
          <w:szCs w:val="22"/>
        </w:rPr>
        <w:t xml:space="preserve"> affect the overall development of D. rerio embryos.</w:t>
      </w:r>
    </w:p>
    <w:p>
      <w:pPr>
        <w:pStyle w:val="normal1"/>
        <w:keepNext w:val="true"/>
        <w:spacing w:lineRule="auto" w:line="480" w:before="0" w:after="0"/>
        <w:ind w:firstLine="720"/>
        <w:jc w:val="both"/>
        <w:rPr>
          <w:b/>
          <w:bCs/>
        </w:rPr>
      </w:pPr>
      <w:r>
        <w:rPr>
          <w:b/>
          <w:bCs/>
          <w:sz w:val="22"/>
          <w:szCs w:val="22"/>
        </w:rPr>
        <w:t>B8 · 241 words · 2 hedges · 0.83 per 100 words</w:t>
      </w:r>
    </w:p>
    <w:p>
      <w:pPr>
        <w:pStyle w:val="normal1"/>
        <w:spacing w:lineRule="auto" w:line="480" w:before="0" w:after="0"/>
        <w:ind w:firstLine="720"/>
        <w:jc w:val="both"/>
        <w:rPr/>
      </w:pPr>
      <w:r>
        <w:rPr>
          <w:strike w:val="false"/>
          <w:dstrike w:val="false"/>
          <w:color w:val="000000"/>
          <w:sz w:val="22"/>
          <w:szCs w:val="22"/>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to control bacterial infections caused by multi-drug resistant pathogens </w:t>
      </w:r>
      <w:r>
        <w:rPr>
          <w:strike w:val="false"/>
          <w:dstrike w:val="false"/>
          <w:color w:val="000000"/>
          <w:sz w:val="22"/>
          <w:szCs w:val="22"/>
          <w:shd w:fill="00B0F0" w:val="clear"/>
        </w:rPr>
        <w:t>could</w:t>
      </w:r>
      <w:r>
        <w:rPr>
          <w:strike w:val="false"/>
          <w:dstrike w:val="false"/>
          <w:color w:val="ED7D31"/>
          <w:sz w:val="22"/>
          <w:szCs w:val="22"/>
        </w:rPr>
        <w:t xml:space="preserve"> (EC)</w:t>
      </w:r>
      <w:r>
        <w:rPr>
          <w:strike w:val="false"/>
          <w:dstrike w:val="false"/>
          <w:color w:val="000000"/>
          <w:sz w:val="22"/>
          <w:szCs w:val="22"/>
        </w:rPr>
        <w:t xml:space="preserve"> also be considered.</w:t>
      </w:r>
    </w:p>
    <w:p>
      <w:pPr>
        <w:pStyle w:val="normal1"/>
        <w:keepNext w:val="true"/>
        <w:spacing w:lineRule="auto" w:line="480" w:before="0" w:after="0"/>
        <w:ind w:firstLine="720"/>
        <w:jc w:val="both"/>
        <w:rPr>
          <w:b/>
          <w:bCs/>
        </w:rPr>
      </w:pPr>
      <w:r>
        <w:rPr>
          <w:b/>
          <w:bCs/>
          <w:sz w:val="22"/>
          <w:szCs w:val="22"/>
        </w:rPr>
        <w:t>B9 · 212 words · 0 hedges · 0.0 per 100 words</w:t>
      </w:r>
    </w:p>
    <w:p>
      <w:pPr>
        <w:pStyle w:val="normal1"/>
        <w:spacing w:lineRule="auto" w:line="480" w:before="0" w:after="0"/>
        <w:ind w:firstLine="720"/>
        <w:jc w:val="both"/>
        <w:rPr/>
      </w:pPr>
      <w:r>
        <w:rPr>
          <w:strike w:val="false"/>
          <w:dstrike w:val="false"/>
          <w:color w:val="000000"/>
          <w:sz w:val="22"/>
          <w:szCs w:val="22"/>
        </w:rPr>
        <w:t xml:space="preserve">This study aimed to identify the histoprotective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strike w:val="false"/>
          <w:dstrike w:val="false"/>
          <w:color w:val="000000"/>
          <w:sz w:val="22"/>
          <w:szCs w:val="22"/>
          <w:shd w:fill="BFBFBF" w:val="clear"/>
        </w:rPr>
        <w:t>caused</w:t>
      </w:r>
      <w:r>
        <w:rPr>
          <w:strike w:val="false"/>
          <w:dstrike w:val="false"/>
          <w:color w:val="000000"/>
          <w:sz w:val="22"/>
          <w:szCs w:val="22"/>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pPr>
        <w:pStyle w:val="normal1"/>
        <w:keepNext w:val="true"/>
        <w:spacing w:lineRule="auto" w:line="480" w:before="0" w:after="0"/>
        <w:ind w:firstLine="720"/>
        <w:jc w:val="both"/>
        <w:rPr>
          <w:b/>
          <w:bCs/>
        </w:rPr>
      </w:pPr>
      <w:r>
        <w:rPr>
          <w:b/>
          <w:bCs/>
          <w:sz w:val="22"/>
          <w:szCs w:val="22"/>
        </w:rPr>
        <w:t>B10 · 302 words · 1 hedges · 0.33 per 100 words</w:t>
      </w:r>
    </w:p>
    <w:p>
      <w:pPr>
        <w:pStyle w:val="normal1"/>
        <w:spacing w:lineRule="auto" w:line="480" w:before="0" w:after="0"/>
        <w:ind w:firstLine="720"/>
        <w:jc w:val="both"/>
        <w:rPr/>
      </w:pPr>
      <w:r>
        <w:rPr>
          <w:sz w:val="22"/>
          <w:szCs w:val="22"/>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composed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=.13485 which is equivalent to have good practices. Thus, the researcher provided a policy proposal to focus on issues that needed to be addressed in the community. In terms of practices, proper waste management should (FP-Rec) be established to avoid the high danger of heavy metal contamination. Certain local habits, such as waste dumping and other communal activities, may (EC) contribute to the spread of heavy metals. As a result, some community or local government-adopted measures are proposed (FP-Gen). These precautions are intended to prevent heavy metal contamination, particularly in the river system and the aquatic life in the area.</w:t>
      </w:r>
    </w:p>
    <w:p>
      <w:pPr>
        <w:pStyle w:val="normal1"/>
        <w:keepNext w:val="true"/>
        <w:spacing w:lineRule="auto" w:line="480" w:before="0" w:after="0"/>
        <w:ind w:firstLine="720"/>
        <w:jc w:val="both"/>
        <w:rPr>
          <w:b/>
          <w:bCs/>
        </w:rPr>
      </w:pPr>
      <w:r>
        <w:rPr>
          <w:b/>
          <w:bCs/>
          <w:sz w:val="22"/>
          <w:szCs w:val="22"/>
        </w:rPr>
        <w:t>B11 · 256 words · 1 hedges · 0.39 per 100 words</w:t>
      </w:r>
    </w:p>
    <w:p>
      <w:pPr>
        <w:pStyle w:val="normal1"/>
        <w:spacing w:lineRule="auto" w:line="480" w:before="0" w:after="0"/>
        <w:ind w:firstLine="720"/>
        <w:jc w:val="both"/>
        <w:rPr/>
      </w:pPr>
      <w:r>
        <w:rPr>
          <w:strike w:val="false"/>
          <w:dstrike w:val="false"/>
          <w:color w:val="000000"/>
          <w:sz w:val="22"/>
          <w:szCs w:val="22"/>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this study aimed to investigate the presence of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strike w:val="false"/>
          <w:dstrike w:val="false"/>
          <w:color w:val="000000"/>
          <w:sz w:val="22"/>
          <w:szCs w:val="22"/>
          <w:shd w:fill="BFBFBF" w:val="clear"/>
        </w:rPr>
        <w:t>provides</w:t>
      </w:r>
      <w:r>
        <w:rPr>
          <w:strike w:val="false"/>
          <w:dstrike w:val="false"/>
          <w:color w:val="000000"/>
          <w:sz w:val="22"/>
          <w:szCs w:val="22"/>
        </w:rPr>
        <w:t xml:space="preserve"> [G] a comprehensive approach for diagnosing and studying mycobacteriosis in cultivated milkfish, offering insights that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guide effective management strategies to control the spread of this disease in aquaculture system.</w:t>
      </w:r>
    </w:p>
    <w:p>
      <w:pPr>
        <w:pStyle w:val="normal1"/>
        <w:keepNext w:val="true"/>
        <w:spacing w:lineRule="auto" w:line="480" w:before="0" w:after="0"/>
        <w:ind w:firstLine="720"/>
        <w:jc w:val="both"/>
        <w:rPr>
          <w:b/>
          <w:bCs/>
        </w:rPr>
      </w:pPr>
      <w:r>
        <w:rPr>
          <w:b/>
          <w:bCs/>
          <w:sz w:val="22"/>
          <w:szCs w:val="22"/>
        </w:rPr>
        <w:t>B12 · 149 words · 1 hedges · 0.67 per 100 words</w:t>
      </w:r>
    </w:p>
    <w:p>
      <w:pPr>
        <w:pStyle w:val="normal1"/>
        <w:spacing w:lineRule="auto" w:line="480" w:before="0" w:after="0"/>
        <w:ind w:firstLine="720"/>
        <w:jc w:val="both"/>
        <w:rPr/>
      </w:pPr>
      <w:r>
        <w:rPr>
          <w:strike w:val="false"/>
          <w:dstrike w:val="false"/>
          <w:color w:val="000000"/>
          <w:sz w:val="22"/>
          <w:szCs w:val="22"/>
        </w:rPr>
        <w:t xml:space="preserve">Antimicrobial resistance is a major threat to public health worldwide, making infections difficult to treat. This problem calls for developing novel and alternative strategies to attenuate microorganisms without inducing resistance. Hence, lactic acid bacteria (LAB) have emerged as a focal point due to their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quorum quenching (QQ) activities. In this study, lactic acid bacteria were obtained from a parallel study, and the antimicrobial activity of the top 10 isolates </w:t>
      </w:r>
      <w:r>
        <w:rPr>
          <w:strike w:val="false"/>
          <w:dstrike w:val="false"/>
          <w:color w:val="000000"/>
          <w:sz w:val="22"/>
          <w:szCs w:val="22"/>
          <w:shd w:fill="BFBFBF" w:val="clear"/>
        </w:rPr>
        <w:t>was</w:t>
      </w:r>
      <w:r>
        <w:rPr>
          <w:strike w:val="false"/>
          <w:dstrike w:val="false"/>
          <w:color w:val="000000"/>
          <w:sz w:val="22"/>
          <w:szCs w:val="22"/>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pPr>
        <w:pStyle w:val="normal1"/>
        <w:keepNext w:val="true"/>
        <w:spacing w:lineRule="auto" w:line="480" w:before="0" w:after="0"/>
        <w:ind w:firstLine="720"/>
        <w:jc w:val="both"/>
        <w:rPr>
          <w:b/>
          <w:bCs/>
        </w:rPr>
      </w:pPr>
      <w:r>
        <w:rPr>
          <w:b/>
          <w:bCs/>
          <w:sz w:val="22"/>
          <w:szCs w:val="22"/>
        </w:rPr>
        <w:t>B13 · 148 words · 0 hedges · 0.0 per 100 words</w:t>
      </w:r>
    </w:p>
    <w:p>
      <w:pPr>
        <w:pStyle w:val="normal1"/>
        <w:spacing w:lineRule="auto" w:line="480" w:before="0" w:after="0"/>
        <w:ind w:firstLine="720"/>
        <w:jc w:val="both"/>
        <w:rPr/>
      </w:pPr>
      <w:r>
        <w:rPr>
          <w:strike w:val="false"/>
          <w:dstrike w:val="false"/>
          <w:color w:val="000000"/>
          <w:sz w:val="22"/>
          <w:szCs w:val="22"/>
        </w:rPr>
        <w:t>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properties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properties of Bangkok Kalachuchi (Adenium obesum) against Staphylococcus aureus (ATCC 25923) are significantly different at various concentration indicating (FP-Gen) that its antibacterial property is dose dependent.</w:t>
      </w:r>
    </w:p>
    <w:p>
      <w:pPr>
        <w:pStyle w:val="normal1"/>
        <w:keepNext w:val="true"/>
        <w:spacing w:lineRule="auto" w:line="480" w:before="0" w:after="0"/>
        <w:ind w:firstLine="720"/>
        <w:jc w:val="both"/>
        <w:rPr>
          <w:b/>
          <w:bCs/>
        </w:rPr>
      </w:pPr>
      <w:r>
        <w:rPr>
          <w:b/>
          <w:bCs/>
          <w:sz w:val="22"/>
          <w:szCs w:val="22"/>
        </w:rPr>
        <w:t>B14 · 242 words · 3 hedges · 1.24 per 100 words</w:t>
      </w:r>
    </w:p>
    <w:p>
      <w:pPr>
        <w:pStyle w:val="normal1"/>
        <w:spacing w:lineRule="auto" w:line="480" w:before="0" w:after="0"/>
        <w:ind w:firstLine="720"/>
        <w:jc w:val="both"/>
        <w:rPr/>
      </w:pPr>
      <w:r>
        <w:rPr>
          <w:strike w:val="false"/>
          <w:dstrike w:val="false"/>
          <w:color w:val="000000"/>
          <w:sz w:val="22"/>
          <w:szCs w:val="22"/>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All experiments were performed in triplicate and were presented as mean + SD. Statistical analysis performed using One-way, Univariate ANOVA, and Tukey’s HSD Multiple Comparison Test. The findings of this study showed and </w:t>
      </w:r>
      <w:r>
        <w:rPr>
          <w:strike w:val="false"/>
          <w:dstrike w:val="false"/>
          <w:color w:val="FFFFFF"/>
          <w:sz w:val="22"/>
          <w:szCs w:val="22"/>
          <w:highlight w:val="red"/>
        </w:rPr>
        <w:t>suggests</w:t>
      </w:r>
      <w:r>
        <w:rPr>
          <w:strike w:val="false"/>
          <w:dstrike w:val="false"/>
          <w:color w:val="ED7D31"/>
          <w:sz w:val="22"/>
          <w:szCs w:val="22"/>
        </w:rPr>
        <w:t xml:space="preserve"> (EC)</w:t>
      </w:r>
      <w:r>
        <w:rPr>
          <w:strike w:val="false"/>
          <w:dstrike w:val="false"/>
          <w:color w:val="000000"/>
          <w:sz w:val="22"/>
          <w:szCs w:val="22"/>
        </w:rPr>
        <w:t xml:space="preserve"> that the extraction efficiency favors the highly polar solvents than the non-polar solvents in determining the antifungal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E. indica against Colletotrichum spp.. The findings of this study attested that this specific type of grass </w:t>
      </w:r>
      <w:r>
        <w:rPr>
          <w:strike w:val="false"/>
          <w:dstrike w:val="false"/>
          <w:color w:val="000000"/>
          <w:sz w:val="22"/>
          <w:szCs w:val="22"/>
          <w:shd w:fill="00B0F0" w:val="clear"/>
        </w:rPr>
        <w:t>could</w:t>
      </w:r>
      <w:r>
        <w:rPr>
          <w:strike w:val="false"/>
          <w:dstrike w:val="false"/>
          <w:color w:val="ED7D31"/>
          <w:sz w:val="22"/>
          <w:szCs w:val="22"/>
        </w:rPr>
        <w:t xml:space="preserve"> (EC)</w:t>
      </w:r>
      <w:r>
        <w:rPr>
          <w:strike w:val="false"/>
          <w:dstrike w:val="false"/>
          <w:color w:val="000000"/>
          <w:sz w:val="22"/>
          <w:szCs w:val="22"/>
        </w:rPr>
        <w:t xml:space="preserve"> </w:t>
      </w:r>
      <w:r>
        <w:rPr>
          <w:strike w:val="false"/>
          <w:dstrike w:val="false"/>
          <w:color w:val="000000"/>
          <w:sz w:val="22"/>
          <w:szCs w:val="22"/>
          <w:highlight w:val="yellow"/>
        </w:rPr>
        <w:t>potentially</w:t>
      </w:r>
      <w:r>
        <w:rPr>
          <w:strike w:val="false"/>
          <w:dstrike w:val="false"/>
          <w:color w:val="ED7D31"/>
          <w:sz w:val="22"/>
          <w:szCs w:val="22"/>
        </w:rPr>
        <w:t xml:space="preserve"> (EC)</w:t>
      </w:r>
      <w:r>
        <w:rPr>
          <w:strike w:val="false"/>
          <w:dstrike w:val="false"/>
          <w:color w:val="000000"/>
          <w:sz w:val="22"/>
          <w:szCs w:val="22"/>
        </w:rPr>
        <w:t xml:space="preserve"> be used as biofungicide agent.</w:t>
      </w:r>
    </w:p>
    <w:p>
      <w:pPr>
        <w:pStyle w:val="normal1"/>
        <w:keepNext w:val="true"/>
        <w:spacing w:lineRule="auto" w:line="480" w:before="0" w:after="0"/>
        <w:ind w:firstLine="720"/>
        <w:jc w:val="both"/>
        <w:rPr>
          <w:b/>
          <w:bCs/>
        </w:rPr>
      </w:pPr>
      <w:r>
        <w:rPr>
          <w:b/>
          <w:bCs/>
          <w:sz w:val="22"/>
          <w:szCs w:val="22"/>
        </w:rPr>
        <w:t>B15 · 131 words · 0 hedges · 0.0 per 100 words</w:t>
      </w:r>
    </w:p>
    <w:p>
      <w:pPr>
        <w:pStyle w:val="normal1"/>
        <w:spacing w:lineRule="auto" w:line="480" w:before="0" w:after="0"/>
        <w:ind w:firstLine="720"/>
        <w:jc w:val="both"/>
        <w:rPr/>
      </w:pPr>
      <w:r>
        <w:rPr>
          <w:strike w:val="false"/>
          <w:dstrike w:val="false"/>
          <w:color w:val="000000"/>
          <w:sz w:val="22"/>
          <w:szCs w:val="22"/>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strike/>
          <w:color w:val="000000"/>
          <w:sz w:val="22"/>
          <w:szCs w:val="22"/>
        </w:rPr>
        <w:t>indicate</w:t>
      </w:r>
      <w:r>
        <w:rPr>
          <w:strike w:val="false"/>
          <w:dstrike w:val="false"/>
          <w:color w:val="808080"/>
          <w:sz w:val="22"/>
          <w:szCs w:val="22"/>
        </w:rPr>
        <w:t xml:space="preserve"> (FP-Gen)</w:t>
      </w:r>
      <w:r>
        <w:rPr>
          <w:strike w:val="false"/>
          <w:dstrike w:val="false"/>
          <w:color w:val="000000"/>
          <w:sz w:val="22"/>
          <w:szCs w:val="22"/>
        </w:rPr>
        <w:t xml:space="preserve"> variations in thermal stability among the different plate materials.</w:t>
      </w:r>
    </w:p>
    <w:p>
      <w:pPr>
        <w:pStyle w:val="normal1"/>
        <w:keepNext w:val="true"/>
        <w:spacing w:lineRule="auto" w:line="480" w:before="0" w:after="0"/>
        <w:ind w:firstLine="720"/>
        <w:jc w:val="both"/>
        <w:rPr>
          <w:b/>
          <w:bCs/>
        </w:rPr>
      </w:pPr>
      <w:r>
        <w:rPr>
          <w:b/>
          <w:bCs/>
          <w:sz w:val="22"/>
          <w:szCs w:val="22"/>
        </w:rPr>
        <w:t>B16 · 223 words · 5 hedges · 2.24 per 100 words</w:t>
      </w:r>
    </w:p>
    <w:p>
      <w:pPr>
        <w:pStyle w:val="normal1"/>
        <w:spacing w:lineRule="auto" w:line="480" w:before="0" w:after="0"/>
        <w:ind w:firstLine="720"/>
        <w:jc w:val="both"/>
        <w:rPr/>
      </w:pPr>
      <w:r>
        <w:rPr>
          <w:strike w:val="false"/>
          <w:dstrike w:val="false"/>
          <w:color w:val="000000"/>
          <w:sz w:val="22"/>
          <w:szCs w:val="22"/>
        </w:rPr>
        <w:t xml:space="preserve">Methicillin-resistant Staphylococcus aureus (MRSA) is a common and </w:t>
      </w:r>
      <w:r>
        <w:rPr>
          <w:strike w:val="false"/>
          <w:dstrike w:val="false"/>
          <w:color w:val="000000"/>
          <w:sz w:val="22"/>
          <w:szCs w:val="22"/>
          <w:highlight w:val="yellow"/>
        </w:rPr>
        <w:t>potentially</w:t>
      </w:r>
      <w:r>
        <w:rPr>
          <w:strike w:val="false"/>
          <w:dstrike w:val="false"/>
          <w:color w:val="ED7D31"/>
          <w:sz w:val="22"/>
          <w:szCs w:val="22"/>
        </w:rPr>
        <w:t xml:space="preserve"> (EC)</w:t>
      </w:r>
      <w:r>
        <w:rPr>
          <w:strike w:val="false"/>
          <w:dstrike w:val="false"/>
          <w:color w:val="000000"/>
          <w:sz w:val="22"/>
          <w:szCs w:val="22"/>
        </w:rPr>
        <w:t xml:space="preserve"> severe pathogen that has developed resistance to several types of antibiotics. MRSA bacteria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survive long on surfaces and objects, including second-hand clothing (SHC). The increasing popularity of SHC or “ukay-ukay” in the Philippines, coupled with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public health concerns associated with transmitting pathogenic bacteria, emphasized this research’s need. Thus,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public health risks associated with the handling and purchasing of second-hand clothing. This study, therefore, underscores the need for proper precautions to mitigate the spread of </w:t>
      </w:r>
      <w:r>
        <w:rPr>
          <w:strike w:val="false"/>
          <w:dstrike w:val="false"/>
          <w:color w:val="000000"/>
          <w:sz w:val="22"/>
          <w:szCs w:val="22"/>
          <w:highlight w:val="yellow"/>
        </w:rPr>
        <w:t>potentially</w:t>
      </w:r>
      <w:r>
        <w:rPr>
          <w:strike w:val="false"/>
          <w:dstrike w:val="false"/>
          <w:color w:val="ED7D31"/>
          <w:sz w:val="22"/>
          <w:szCs w:val="22"/>
        </w:rPr>
        <w:t xml:space="preserve"> (EC)</w:t>
      </w:r>
      <w:r>
        <w:rPr>
          <w:strike w:val="false"/>
          <w:dstrike w:val="false"/>
          <w:color w:val="000000"/>
          <w:sz w:val="22"/>
          <w:szCs w:val="22"/>
        </w:rPr>
        <w:t xml:space="preserve"> harmful bacteria, including MRSA, on second-hand clothing. It highlights the importance of raising awareness among both vendors and consumers about the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health risks associated with these garments.</w:t>
      </w:r>
    </w:p>
    <w:p>
      <w:pPr>
        <w:pStyle w:val="normal1"/>
        <w:keepNext w:val="true"/>
        <w:spacing w:lineRule="auto" w:line="480" w:before="0" w:after="0"/>
        <w:ind w:firstLine="720"/>
        <w:jc w:val="both"/>
        <w:rPr>
          <w:b/>
          <w:bCs/>
        </w:rPr>
      </w:pPr>
      <w:r>
        <w:rPr>
          <w:b/>
          <w:bCs/>
          <w:sz w:val="22"/>
          <w:szCs w:val="22"/>
        </w:rPr>
        <w:t>B17 · 243 words · 2 hedges · 0.82 per 100 words</w:t>
      </w:r>
    </w:p>
    <w:p>
      <w:pPr>
        <w:pStyle w:val="normal1"/>
        <w:spacing w:lineRule="auto" w:line="480" w:before="0" w:after="0"/>
        <w:ind w:firstLine="720"/>
        <w:jc w:val="both"/>
        <w:rPr/>
      </w:pPr>
      <w:r>
        <w:rPr>
          <w:strike w:val="false"/>
          <w:dstrike w:val="false"/>
          <w:color w:val="000000"/>
          <w:sz w:val="22"/>
          <w:szCs w:val="22"/>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strike/>
          <w:color w:val="000000"/>
          <w:sz w:val="22"/>
          <w:szCs w:val="22"/>
        </w:rPr>
        <w:t>indicated</w:t>
      </w:r>
      <w:r>
        <w:rPr>
          <w:strike w:val="false"/>
          <w:dstrike w:val="false"/>
          <w:color w:val="808080"/>
          <w:sz w:val="22"/>
          <w:szCs w:val="22"/>
        </w:rPr>
        <w:t xml:space="preserve"> (FP-Gen)</w:t>
      </w:r>
      <w:r>
        <w:rPr>
          <w:strike w:val="false"/>
          <w:dstrike w:val="false"/>
          <w:color w:val="000000"/>
          <w:sz w:val="22"/>
          <w:szCs w:val="22"/>
        </w:rPr>
        <w:t xml:space="preserve"> by the reduction of DPPH radicals. The TLC-MTT overlay assay showed that the extract exhibits antibacterial activity against S. aureus but was ineffective against E. coli, </w:t>
      </w:r>
      <w:r>
        <w:rPr>
          <w:strike w:val="false"/>
          <w:dstrike w:val="false"/>
          <w:color w:val="FFFFFF"/>
          <w:sz w:val="22"/>
          <w:szCs w:val="22"/>
          <w:highlight w:val="red"/>
        </w:rPr>
        <w:t>suggesting</w:t>
      </w:r>
      <w:r>
        <w:rPr>
          <w:strike w:val="false"/>
          <w:dstrike w:val="false"/>
          <w:color w:val="ED7D31"/>
          <w:sz w:val="22"/>
          <w:szCs w:val="22"/>
        </w:rPr>
        <w:t xml:space="preserve"> (EC)</w:t>
      </w:r>
      <w:r>
        <w:rPr>
          <w:strike w:val="false"/>
          <w:dstrike w:val="false"/>
          <w:color w:val="000000"/>
          <w:sz w:val="22"/>
          <w:szCs w:val="22"/>
        </w:rPr>
        <w:t xml:space="preserve"> selective antibacterial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The findings indicate that P. propinquum fruit ethanolic extract contains bioactive compounds with antioxidant and selective antibacterial properties. Further studies </w:t>
      </w:r>
      <w:r>
        <w:rPr>
          <w:strike/>
          <w:color w:val="000000"/>
          <w:sz w:val="22"/>
          <w:szCs w:val="22"/>
        </w:rPr>
        <w:t>should</w:t>
      </w:r>
      <w:r>
        <w:rPr>
          <w:strike w:val="false"/>
          <w:dstrike w:val="false"/>
          <w:color w:val="808080"/>
          <w:sz w:val="22"/>
          <w:szCs w:val="22"/>
        </w:rPr>
        <w:t xml:space="preserve"> (FP-Rec)</w:t>
      </w:r>
      <w:r>
        <w:rPr>
          <w:strike w:val="false"/>
          <w:dstrike w:val="false"/>
          <w:color w:val="000000"/>
          <w:sz w:val="22"/>
          <w:szCs w:val="22"/>
        </w:rPr>
        <w:t xml:space="preserve"> focus on the isolation and characterization of its active compounds, their mechanisms of action, and their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pharmaceutical applications.</w:t>
      </w:r>
    </w:p>
    <w:p>
      <w:pPr>
        <w:pStyle w:val="normal1"/>
        <w:keepNext w:val="true"/>
        <w:spacing w:lineRule="auto" w:line="480" w:before="0" w:after="0"/>
        <w:ind w:firstLine="720"/>
        <w:jc w:val="both"/>
        <w:rPr>
          <w:b/>
          <w:bCs/>
        </w:rPr>
      </w:pPr>
      <w:r>
        <w:rPr>
          <w:b/>
          <w:bCs/>
          <w:sz w:val="22"/>
          <w:szCs w:val="22"/>
        </w:rPr>
        <w:t>B18 · 286 words · 1 hedges · 0.35 per 100 words</w:t>
      </w:r>
    </w:p>
    <w:p>
      <w:pPr>
        <w:pStyle w:val="normal1"/>
        <w:spacing w:lineRule="auto" w:line="480" w:before="0" w:after="0"/>
        <w:ind w:firstLine="720"/>
        <w:jc w:val="both"/>
        <w:rPr/>
      </w:pPr>
      <w:r>
        <w:rPr>
          <w:strike w:val="false"/>
          <w:dstrike w:val="false"/>
          <w:color w:val="000000"/>
          <w:sz w:val="22"/>
          <w:szCs w:val="22"/>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strike w:val="false"/>
          <w:dstrike w:val="false"/>
          <w:color w:val="FFFFFF"/>
          <w:sz w:val="22"/>
          <w:szCs w:val="22"/>
          <w:highlight w:val="red"/>
        </w:rPr>
        <w:t>suggests</w:t>
      </w:r>
      <w:r>
        <w:rPr>
          <w:strike w:val="false"/>
          <w:dstrike w:val="false"/>
          <w:color w:val="ED7D31"/>
          <w:sz w:val="22"/>
          <w:szCs w:val="22"/>
        </w:rPr>
        <w:t xml:space="preserve"> (EC)</w:t>
      </w:r>
      <w:r>
        <w:rPr>
          <w:strike w:val="false"/>
          <w:dstrike w:val="false"/>
          <w:color w:val="000000"/>
          <w:sz w:val="22"/>
          <w:szCs w:val="22"/>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pPr>
        <w:pStyle w:val="normal1"/>
        <w:keepNext w:val="true"/>
        <w:spacing w:lineRule="auto" w:line="480" w:before="0" w:after="0"/>
        <w:ind w:firstLine="720"/>
        <w:jc w:val="both"/>
        <w:rPr>
          <w:b/>
          <w:bCs/>
        </w:rPr>
      </w:pPr>
      <w:r>
        <w:rPr>
          <w:b/>
          <w:bCs/>
          <w:sz w:val="22"/>
          <w:szCs w:val="22"/>
        </w:rPr>
        <w:t>B19 · 290 words · 1 hedges · 0.34 per 100 words</w:t>
      </w:r>
    </w:p>
    <w:p>
      <w:pPr>
        <w:pStyle w:val="normal1"/>
        <w:spacing w:lineRule="auto" w:line="480" w:before="0" w:after="0"/>
        <w:ind w:firstLine="720"/>
        <w:jc w:val="both"/>
        <w:rPr/>
      </w:pPr>
      <w:r>
        <w:rPr>
          <w:strike w:val="false"/>
          <w:dstrike w:val="false"/>
          <w:color w:val="000000"/>
          <w:sz w:val="22"/>
          <w:szCs w:val="22"/>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sustainable planning and management approaches </w:t>
      </w:r>
      <w:r>
        <w:rPr>
          <w:strike/>
          <w:color w:val="000000"/>
          <w:sz w:val="22"/>
          <w:szCs w:val="22"/>
        </w:rPr>
        <w:t>should</w:t>
      </w:r>
      <w:r>
        <w:rPr>
          <w:strike w:val="false"/>
          <w:dstrike w:val="false"/>
          <w:color w:val="808080"/>
          <w:sz w:val="22"/>
          <w:szCs w:val="22"/>
        </w:rPr>
        <w:t xml:space="preserve"> (FP-Rec)</w:t>
      </w:r>
      <w:r>
        <w:rPr>
          <w:strike w:val="false"/>
          <w:dstrike w:val="false"/>
          <w:color w:val="000000"/>
          <w:sz w:val="22"/>
          <w:szCs w:val="22"/>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local government </w:t>
      </w:r>
      <w:r>
        <w:rPr>
          <w:strike/>
          <w:color w:val="000000"/>
          <w:sz w:val="22"/>
          <w:szCs w:val="22"/>
        </w:rPr>
        <w:t>should</w:t>
      </w:r>
      <w:r>
        <w:rPr>
          <w:strike w:val="false"/>
          <w:dstrike w:val="false"/>
          <w:color w:val="808080"/>
          <w:sz w:val="22"/>
          <w:szCs w:val="22"/>
        </w:rPr>
        <w:t xml:space="preserve"> (FP-Rec)</w:t>
      </w:r>
      <w:r>
        <w:rPr>
          <w:strike w:val="false"/>
          <w:dstrike w:val="false"/>
          <w:color w:val="000000"/>
          <w:sz w:val="22"/>
          <w:szCs w:val="22"/>
        </w:rPr>
        <w:t xml:space="preserve"> address the </w:t>
      </w:r>
      <w:r>
        <w:rPr>
          <w:strike w:val="false"/>
          <w:dstrike w:val="false"/>
          <w:color w:val="FFFFFF"/>
          <w:sz w:val="22"/>
          <w:szCs w:val="22"/>
          <w:highlight w:val="red"/>
        </w:rPr>
        <w:t>possible</w:t>
      </w:r>
      <w:r>
        <w:rPr>
          <w:strike w:val="false"/>
          <w:dstrike w:val="false"/>
          <w:color w:val="ED7D31"/>
          <w:sz w:val="22"/>
          <w:szCs w:val="22"/>
        </w:rPr>
        <w:t xml:space="preserve"> (EC)</w:t>
      </w:r>
      <w:r>
        <w:rPr>
          <w:strike w:val="false"/>
          <w:dstrike w:val="false"/>
          <w:color w:val="000000"/>
          <w:sz w:val="22"/>
          <w:szCs w:val="22"/>
        </w:rPr>
        <w:t xml:space="preserve"> negative impacts of tourism activities and manage the carrying capacity for sustainable tourism.</w:t>
      </w:r>
    </w:p>
    <w:p>
      <w:pPr>
        <w:pStyle w:val="normal1"/>
        <w:keepNext w:val="true"/>
        <w:spacing w:lineRule="auto" w:line="480" w:before="0" w:after="0"/>
        <w:ind w:firstLine="720"/>
        <w:jc w:val="both"/>
        <w:rPr>
          <w:b/>
          <w:bCs/>
        </w:rPr>
      </w:pPr>
      <w:r>
        <w:rPr>
          <w:b/>
          <w:bCs/>
          <w:sz w:val="22"/>
          <w:szCs w:val="22"/>
        </w:rPr>
        <w:t>B20 · 223 words · 1 hedges · 0.45 per 100 words</w:t>
      </w:r>
    </w:p>
    <w:p>
      <w:pPr>
        <w:pStyle w:val="normal1"/>
        <w:spacing w:lineRule="auto" w:line="480" w:before="0" w:after="0"/>
        <w:ind w:firstLine="720"/>
        <w:jc w:val="both"/>
        <w:rPr/>
      </w:pPr>
      <w:r>
        <w:rPr>
          <w:strike w:val="false"/>
          <w:dstrike w:val="false"/>
          <w:color w:val="000000"/>
          <w:sz w:val="22"/>
          <w:szCs w:val="22"/>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this study aims to examine the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the study aimed to investigate the antagonistic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Trichoderma harzianum among the four isolates. The results </w:t>
      </w:r>
      <w:r>
        <w:rPr>
          <w:strike/>
          <w:color w:val="000000"/>
          <w:sz w:val="22"/>
          <w:szCs w:val="22"/>
        </w:rPr>
        <w:t>indicate</w:t>
      </w:r>
      <w:r>
        <w:rPr>
          <w:strike w:val="false"/>
          <w:dstrike w:val="false"/>
          <w:color w:val="808080"/>
          <w:sz w:val="22"/>
          <w:szCs w:val="22"/>
        </w:rPr>
        <w:t xml:space="preserve"> (FP-Gen)</w:t>
      </w:r>
      <w:r>
        <w:rPr>
          <w:strike w:val="false"/>
          <w:dstrike w:val="false"/>
          <w:color w:val="000000"/>
          <w:sz w:val="22"/>
          <w:szCs w:val="22"/>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strike w:val="false"/>
          <w:dstrike w:val="false"/>
          <w:color w:val="FFFFFF"/>
          <w:sz w:val="22"/>
          <w:szCs w:val="22"/>
          <w:highlight w:val="red"/>
        </w:rPr>
        <w:t>suggesting</w:t>
      </w:r>
      <w:r>
        <w:rPr>
          <w:strike w:val="false"/>
          <w:dstrike w:val="false"/>
          <w:color w:val="ED7D31"/>
          <w:sz w:val="22"/>
          <w:szCs w:val="22"/>
        </w:rPr>
        <w:t xml:space="preserve"> (EC)</w:t>
      </w:r>
      <w:r>
        <w:rPr>
          <w:strike w:val="false"/>
          <w:dstrike w:val="false"/>
          <w:color w:val="000000"/>
          <w:sz w:val="22"/>
          <w:szCs w:val="22"/>
        </w:rPr>
        <w:t xml:space="preserve"> that the fungus had a similar impact on the growth of all four test variables.</w:t>
      </w:r>
    </w:p>
    <w:p>
      <w:pPr>
        <w:pStyle w:val="normal1"/>
        <w:keepNext w:val="true"/>
        <w:keepLines/>
        <w:spacing w:lineRule="auto" w:line="480" w:before="240" w:after="0"/>
        <w:ind w:hanging="0" w:left="0"/>
        <w:jc w:val="both"/>
        <w:rPr>
          <w:sz w:val="24"/>
          <w:szCs w:val="24"/>
        </w:rPr>
      </w:pPr>
      <w:r>
        <w:rPr>
          <w:b/>
          <w:bCs/>
          <w:sz w:val="24"/>
          <w:szCs w:val="24"/>
        </w:rPr>
        <w:t>Veterinary Medicine (VM1–VM20)</w:t>
      </w:r>
    </w:p>
    <w:p>
      <w:pPr>
        <w:pStyle w:val="normal1"/>
        <w:keepNext w:val="true"/>
        <w:spacing w:lineRule="auto" w:line="480" w:before="0" w:after="0"/>
        <w:ind w:firstLine="720"/>
        <w:jc w:val="both"/>
        <w:rPr>
          <w:b/>
          <w:bCs/>
        </w:rPr>
      </w:pPr>
      <w:r>
        <w:rPr>
          <w:b/>
          <w:bCs/>
          <w:sz w:val="22"/>
          <w:szCs w:val="22"/>
        </w:rPr>
        <w:t>VM1 · 211 words · 0 hedges · 0.0 per 100 words</w:t>
      </w:r>
    </w:p>
    <w:p>
      <w:pPr>
        <w:pStyle w:val="normal1"/>
        <w:spacing w:lineRule="auto" w:line="480" w:before="0" w:after="0"/>
        <w:ind w:firstLine="720"/>
        <w:jc w:val="both"/>
        <w:rPr/>
      </w:pPr>
      <w:r>
        <w:rPr>
          <w:strike w:val="false"/>
          <w:dstrike w:val="false"/>
          <w:color w:val="000000"/>
          <w:sz w:val="22"/>
          <w:szCs w:val="22"/>
        </w:rPr>
        <w:t xml:space="preserve">This study </w:t>
      </w:r>
      <w:r>
        <w:rPr>
          <w:strike w:val="false"/>
          <w:dstrike w:val="false"/>
          <w:color w:val="000000"/>
          <w:sz w:val="22"/>
          <w:szCs w:val="22"/>
          <w:shd w:fill="BFBFBF" w:val="clear"/>
        </w:rPr>
        <w:t>was</w:t>
      </w:r>
      <w:r>
        <w:rPr>
          <w:strike w:val="false"/>
          <w:dstrike w:val="false"/>
          <w:color w:val="000000"/>
          <w:sz w:val="22"/>
          <w:szCs w:val="22"/>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pPr>
        <w:pStyle w:val="normal1"/>
        <w:keepNext w:val="true"/>
        <w:spacing w:lineRule="auto" w:line="480" w:before="0" w:after="0"/>
        <w:ind w:firstLine="720"/>
        <w:jc w:val="both"/>
        <w:rPr>
          <w:b/>
          <w:bCs/>
        </w:rPr>
      </w:pPr>
      <w:r>
        <w:rPr>
          <w:b/>
          <w:bCs/>
          <w:sz w:val="22"/>
          <w:szCs w:val="22"/>
        </w:rPr>
        <w:t>VM2 · 358 words · 3 hedges · 0.84 per 100 words</w:t>
      </w:r>
    </w:p>
    <w:p>
      <w:pPr>
        <w:pStyle w:val="normal1"/>
        <w:spacing w:lineRule="auto" w:line="480" w:before="0" w:after="0"/>
        <w:ind w:firstLine="720"/>
        <w:jc w:val="both"/>
        <w:rPr/>
      </w:pPr>
      <w:r>
        <w:rPr>
          <w:strike w:val="false"/>
          <w:dstrike w:val="false"/>
          <w:color w:val="000000"/>
          <w:sz w:val="22"/>
          <w:szCs w:val="22"/>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strike w:val="false"/>
          <w:dstrike w:val="false"/>
          <w:color w:val="FFFFFF"/>
          <w:sz w:val="22"/>
          <w:szCs w:val="22"/>
          <w:highlight w:val="red"/>
        </w:rPr>
        <w:t>indicating</w:t>
      </w:r>
      <w:r>
        <w:rPr>
          <w:strike w:val="false"/>
          <w:dstrike w:val="false"/>
          <w:color w:val="ED7D31"/>
          <w:sz w:val="22"/>
          <w:szCs w:val="22"/>
        </w:rPr>
        <w:t xml:space="preserve"> (EC)</w:t>
      </w:r>
      <w:r>
        <w:rPr>
          <w:strike w:val="false"/>
          <w:dstrike w:val="false"/>
          <w:color w:val="000000"/>
          <w:sz w:val="22"/>
          <w:szCs w:val="22"/>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strike w:val="false"/>
          <w:dstrike w:val="false"/>
          <w:color w:val="FFFFFF"/>
          <w:sz w:val="22"/>
          <w:szCs w:val="22"/>
          <w:highlight w:val="red"/>
        </w:rPr>
        <w:t>likely</w:t>
      </w:r>
      <w:r>
        <w:rPr>
          <w:strike w:val="false"/>
          <w:dstrike w:val="false"/>
          <w:color w:val="ED7D31"/>
          <w:sz w:val="22"/>
          <w:szCs w:val="22"/>
        </w:rPr>
        <w:t xml:space="preserve"> (EC)</w:t>
      </w:r>
      <w:r>
        <w:rPr>
          <w:strike w:val="false"/>
          <w:dstrike w:val="false"/>
          <w:color w:val="000000"/>
          <w:sz w:val="22"/>
          <w:szCs w:val="22"/>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strike w:val="false"/>
          <w:dstrike w:val="false"/>
          <w:color w:val="FFFFFF"/>
          <w:sz w:val="22"/>
          <w:szCs w:val="22"/>
          <w:highlight w:val="red"/>
        </w:rPr>
        <w:t>likely</w:t>
      </w:r>
      <w:r>
        <w:rPr>
          <w:strike w:val="false"/>
          <w:dstrike w:val="false"/>
          <w:color w:val="ED7D31"/>
          <w:sz w:val="22"/>
          <w:szCs w:val="22"/>
        </w:rPr>
        <w:t xml:space="preserve"> (EC)</w:t>
      </w:r>
      <w:r>
        <w:rPr>
          <w:strike w:val="false"/>
          <w:dstrike w:val="false"/>
          <w:color w:val="000000"/>
          <w:sz w:val="22"/>
          <w:szCs w:val="22"/>
        </w:rPr>
        <w:t xml:space="preserve"> to engage in responsible and humane behavior toward stray animals. The results obtained served as baseline information for future endeavors in promoting responsible pet ownership for the welfare of companion animals and the community.</w:t>
      </w:r>
    </w:p>
    <w:p>
      <w:pPr>
        <w:pStyle w:val="normal1"/>
        <w:keepNext w:val="true"/>
        <w:spacing w:lineRule="auto" w:line="480" w:before="0" w:after="0"/>
        <w:ind w:firstLine="720"/>
        <w:jc w:val="both"/>
        <w:rPr>
          <w:b/>
          <w:bCs/>
        </w:rPr>
      </w:pPr>
      <w:r>
        <w:rPr>
          <w:b/>
          <w:bCs/>
          <w:sz w:val="22"/>
          <w:szCs w:val="22"/>
        </w:rPr>
        <w:t>VM3 · 296 words · 0 hedges · 0.0 per 100 words</w:t>
      </w:r>
    </w:p>
    <w:p>
      <w:pPr>
        <w:pStyle w:val="normal1"/>
        <w:spacing w:lineRule="auto" w:line="480" w:before="0" w:after="0"/>
        <w:ind w:firstLine="720"/>
        <w:jc w:val="both"/>
        <w:rPr/>
      </w:pPr>
      <w:r>
        <w:rPr>
          <w:strike w:val="false"/>
          <w:dstrike w:val="false"/>
          <w:color w:val="000000"/>
          <w:sz w:val="22"/>
          <w:szCs w:val="22"/>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strike w:val="false"/>
          <w:dstrike w:val="false"/>
          <w:color w:val="000000"/>
          <w:sz w:val="22"/>
          <w:szCs w:val="22"/>
          <w:shd w:fill="BFBFBF" w:val="clear"/>
        </w:rPr>
        <w:t>showed</w:t>
      </w:r>
      <w:r>
        <w:rPr>
          <w:strike w:val="false"/>
          <w:dstrike w:val="false"/>
          <w:color w:val="000000"/>
          <w:sz w:val="22"/>
          <w:szCs w:val="22"/>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strike/>
          <w:color w:val="000000"/>
          <w:sz w:val="22"/>
          <w:szCs w:val="22"/>
        </w:rPr>
        <w:t>suggests</w:t>
      </w:r>
      <w:r>
        <w:rPr>
          <w:strike w:val="false"/>
          <w:dstrike w:val="false"/>
          <w:color w:val="808080"/>
          <w:sz w:val="22"/>
          <w:szCs w:val="22"/>
        </w:rPr>
        <w:t xml:space="preserve"> (FP-Rec)</w:t>
      </w:r>
      <w:r>
        <w:rPr>
          <w:strike w:val="false"/>
          <w:dstrike w:val="false"/>
          <w:color w:val="000000"/>
          <w:sz w:val="22"/>
          <w:szCs w:val="22"/>
        </w:rPr>
        <w:t xml:space="preserve"> the need for assessment of knowledge, attitudes and practices of retail egg vendors about food safety and regular antimicrobial resistance monitoring on retail eggs.</w:t>
      </w:r>
    </w:p>
    <w:p>
      <w:pPr>
        <w:pStyle w:val="normal1"/>
        <w:keepNext w:val="true"/>
        <w:spacing w:lineRule="auto" w:line="480" w:before="0" w:after="0"/>
        <w:ind w:firstLine="720"/>
        <w:jc w:val="both"/>
        <w:rPr>
          <w:b/>
          <w:bCs/>
        </w:rPr>
      </w:pPr>
      <w:r>
        <w:rPr>
          <w:b/>
          <w:bCs/>
          <w:sz w:val="22"/>
          <w:szCs w:val="22"/>
        </w:rPr>
        <w:t>VM4 · 250 words · 0 hedges · 0.0 per 100 words</w:t>
      </w:r>
    </w:p>
    <w:p>
      <w:pPr>
        <w:pStyle w:val="normal1"/>
        <w:spacing w:lineRule="auto" w:line="480" w:before="0" w:after="0"/>
        <w:ind w:firstLine="720"/>
        <w:jc w:val="both"/>
        <w:rPr/>
      </w:pPr>
      <w:r>
        <w:rPr>
          <w:strike w:val="false"/>
          <w:dstrike w:val="false"/>
          <w:color w:val="000000"/>
          <w:sz w:val="22"/>
          <w:szCs w:val="22"/>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strike/>
          <w:color w:val="000000"/>
          <w:sz w:val="22"/>
          <w:szCs w:val="22"/>
        </w:rPr>
        <w:t>suggest</w:t>
      </w:r>
      <w:r>
        <w:rPr>
          <w:strike w:val="false"/>
          <w:dstrike w:val="false"/>
          <w:color w:val="808080"/>
          <w:sz w:val="22"/>
          <w:szCs w:val="22"/>
        </w:rPr>
        <w:t xml:space="preserve"> (FP-Rec)</w:t>
      </w:r>
      <w:r>
        <w:rPr>
          <w:strike w:val="false"/>
          <w:dstrike w:val="false"/>
          <w:color w:val="000000"/>
          <w:sz w:val="22"/>
          <w:szCs w:val="22"/>
        </w:rPr>
        <w:t xml:space="preserve"> the need to improve training, regulation of milk storage, and the enforcement of labeling and sanitation standards to improve public health safety in the milk supply chain.</w:t>
      </w:r>
    </w:p>
    <w:p>
      <w:pPr>
        <w:pStyle w:val="normal1"/>
        <w:keepNext w:val="true"/>
        <w:spacing w:lineRule="auto" w:line="480" w:before="0" w:after="0"/>
        <w:ind w:firstLine="720"/>
        <w:jc w:val="both"/>
        <w:rPr>
          <w:b/>
          <w:bCs/>
        </w:rPr>
      </w:pPr>
      <w:r>
        <w:rPr>
          <w:b/>
          <w:bCs/>
          <w:sz w:val="22"/>
          <w:szCs w:val="22"/>
        </w:rPr>
        <w:t>VM5 · 256 words · 1 hedges · 0.39 per 100 words</w:t>
      </w:r>
    </w:p>
    <w:p>
      <w:pPr>
        <w:pStyle w:val="normal1"/>
        <w:spacing w:lineRule="auto" w:line="480" w:before="0" w:after="0"/>
        <w:ind w:firstLine="720"/>
        <w:jc w:val="both"/>
        <w:rPr/>
      </w:pPr>
      <w:r>
        <w:rPr>
          <w:strike w:val="false"/>
          <w:dstrike w:val="false"/>
          <w:color w:val="000000"/>
          <w:sz w:val="22"/>
          <w:szCs w:val="22"/>
        </w:rPr>
        <w:t xml:space="preserve">The prevalence of dermatophytosis and emerging drug resistance underscores the need for alternative therapeutic approaches, leading to a focus on medicinal plants. This study explores the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of M. calabura L. as a source of antifungal agents, warranting further investigation into its therapeutic applications and formulation for dermatophytosis management.</w:t>
      </w:r>
    </w:p>
    <w:p>
      <w:pPr>
        <w:pStyle w:val="normal1"/>
        <w:keepNext w:val="true"/>
        <w:spacing w:lineRule="auto" w:line="480" w:before="0" w:after="0"/>
        <w:ind w:firstLine="720"/>
        <w:jc w:val="both"/>
        <w:rPr>
          <w:b/>
          <w:bCs/>
        </w:rPr>
      </w:pPr>
      <w:r>
        <w:rPr>
          <w:b/>
          <w:bCs/>
          <w:sz w:val="22"/>
          <w:szCs w:val="22"/>
        </w:rPr>
        <w:t>VM6 · 278 words · 0 hedges · 0.0 per 100 words</w:t>
      </w:r>
    </w:p>
    <w:p>
      <w:pPr>
        <w:pStyle w:val="normal1"/>
        <w:spacing w:lineRule="auto" w:line="480" w:before="0" w:after="0"/>
        <w:ind w:firstLine="720"/>
        <w:jc w:val="both"/>
        <w:rPr/>
      </w:pPr>
      <w:r>
        <w:rPr>
          <w:strike w:val="false"/>
          <w:dstrike w:val="false"/>
          <w:color w:val="000000"/>
          <w:sz w:val="22"/>
          <w:szCs w:val="22"/>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pPr>
        <w:pStyle w:val="normal1"/>
        <w:keepNext w:val="true"/>
        <w:spacing w:lineRule="auto" w:line="480" w:before="0" w:after="0"/>
        <w:ind w:firstLine="720"/>
        <w:jc w:val="both"/>
        <w:rPr>
          <w:b/>
          <w:bCs/>
        </w:rPr>
      </w:pPr>
      <w:r>
        <w:rPr>
          <w:b/>
          <w:bCs/>
          <w:sz w:val="22"/>
          <w:szCs w:val="22"/>
        </w:rPr>
        <w:t>VM7 · 174 words · 1 hedges · 0.57 per 100 words</w:t>
      </w:r>
    </w:p>
    <w:p>
      <w:pPr>
        <w:pStyle w:val="normal1"/>
        <w:spacing w:lineRule="auto" w:line="480" w:before="0" w:after="0"/>
        <w:ind w:firstLine="720"/>
        <w:jc w:val="both"/>
        <w:rPr/>
      </w:pPr>
      <w:r>
        <w:rPr>
          <w:strike w:val="false"/>
          <w:dstrike w:val="false"/>
          <w:color w:val="000000"/>
          <w:sz w:val="22"/>
          <w:szCs w:val="22"/>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no significant association between clinical signs and heartworm infection </w:t>
      </w:r>
      <w:r>
        <w:rPr>
          <w:strike w:val="false"/>
          <w:dstrike w:val="false"/>
          <w:color w:val="000000"/>
          <w:sz w:val="22"/>
          <w:szCs w:val="22"/>
          <w:shd w:fill="00B0F0" w:val="clear"/>
        </w:rPr>
        <w:t>could</w:t>
      </w:r>
      <w:r>
        <w:rPr>
          <w:strike w:val="false"/>
          <w:dstrike w:val="false"/>
          <w:color w:val="ED7D31"/>
          <w:sz w:val="22"/>
          <w:szCs w:val="22"/>
        </w:rPr>
        <w:t xml:space="preserve"> (EC)</w:t>
      </w:r>
      <w:r>
        <w:rPr>
          <w:strike w:val="false"/>
          <w:dstrike w:val="false"/>
          <w:color w:val="000000"/>
          <w:sz w:val="22"/>
          <w:szCs w:val="22"/>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strike/>
          <w:color w:val="000000"/>
          <w:sz w:val="22"/>
          <w:szCs w:val="22"/>
        </w:rPr>
        <w:t>can</w:t>
      </w:r>
      <w:r>
        <w:rPr>
          <w:strike w:val="false"/>
          <w:dstrike w:val="false"/>
          <w:color w:val="808080"/>
          <w:sz w:val="22"/>
          <w:szCs w:val="22"/>
        </w:rPr>
        <w:t xml:space="preserve"> (FP-Gen)</w:t>
      </w:r>
      <w:r>
        <w:rPr>
          <w:strike w:val="false"/>
          <w:dstrike w:val="false"/>
          <w:color w:val="000000"/>
          <w:sz w:val="22"/>
          <w:szCs w:val="22"/>
        </w:rPr>
        <w:t xml:space="preserve"> collectively contribute to the effective management and prevention of heartworm disease in the local canine population. Further research with larger sample sizes and diverse populations is </w:t>
      </w:r>
      <w:r>
        <w:rPr>
          <w:strike/>
          <w:color w:val="000000"/>
          <w:sz w:val="22"/>
          <w:szCs w:val="22"/>
        </w:rPr>
        <w:t>needed</w:t>
      </w:r>
      <w:r>
        <w:rPr>
          <w:strike w:val="false"/>
          <w:dstrike w:val="false"/>
          <w:color w:val="808080"/>
          <w:sz w:val="22"/>
          <w:szCs w:val="22"/>
        </w:rPr>
        <w:t xml:space="preserve"> (FP-Rec)</w:t>
      </w:r>
      <w:r>
        <w:rPr>
          <w:strike w:val="false"/>
          <w:dstrike w:val="false"/>
          <w:color w:val="000000"/>
          <w:sz w:val="22"/>
          <w:szCs w:val="22"/>
        </w:rPr>
        <w:t xml:space="preserve"> to validate these findings and enhance our understanding of heartworm infection in the study area.</w:t>
      </w:r>
    </w:p>
    <w:p>
      <w:pPr>
        <w:pStyle w:val="normal1"/>
        <w:keepNext w:val="true"/>
        <w:spacing w:lineRule="auto" w:line="480" w:before="0" w:after="0"/>
        <w:ind w:firstLine="720"/>
        <w:jc w:val="both"/>
        <w:rPr>
          <w:b/>
          <w:bCs/>
        </w:rPr>
      </w:pPr>
      <w:r>
        <w:rPr>
          <w:b/>
          <w:bCs/>
          <w:sz w:val="22"/>
          <w:szCs w:val="22"/>
        </w:rPr>
        <w:t>VM8 · 253 words · 1 hedges · 0.4 per 100 words</w:t>
      </w:r>
    </w:p>
    <w:p>
      <w:pPr>
        <w:pStyle w:val="normal1"/>
        <w:spacing w:lineRule="auto" w:line="480" w:before="0" w:after="0"/>
        <w:ind w:firstLine="720"/>
        <w:jc w:val="both"/>
        <w:rPr/>
      </w:pPr>
      <w:r>
        <w:rPr>
          <w:strike w:val="false"/>
          <w:dstrike w:val="false"/>
          <w:color w:val="000000"/>
          <w:sz w:val="22"/>
          <w:szCs w:val="22"/>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of both plant extracts as natural anthelmintics, with tamarind showing superior efficacy. The study supports the development of plant-based alternatives for the sustainable control of fasciolosis in livestock.</w:t>
      </w:r>
    </w:p>
    <w:p>
      <w:pPr>
        <w:pStyle w:val="normal1"/>
        <w:keepNext w:val="true"/>
        <w:spacing w:lineRule="auto" w:line="480" w:before="0" w:after="0"/>
        <w:ind w:firstLine="720"/>
        <w:jc w:val="both"/>
        <w:rPr>
          <w:b/>
          <w:bCs/>
        </w:rPr>
      </w:pPr>
      <w:r>
        <w:rPr>
          <w:b/>
          <w:bCs/>
          <w:sz w:val="22"/>
          <w:szCs w:val="22"/>
        </w:rPr>
        <w:t>VM9 · 430 words · 1 hedges · 0.23 per 100 words</w:t>
      </w:r>
    </w:p>
    <w:p>
      <w:pPr>
        <w:pStyle w:val="normal1"/>
        <w:spacing w:lineRule="auto" w:line="480" w:before="0" w:after="0"/>
        <w:ind w:firstLine="720"/>
        <w:jc w:val="both"/>
        <w:rPr/>
      </w:pPr>
      <w:r>
        <w:rPr>
          <w:strike w:val="false"/>
          <w:dstrike w:val="false"/>
          <w:color w:val="000000"/>
          <w:sz w:val="22"/>
          <w:szCs w:val="22"/>
        </w:rPr>
        <w:t xml:space="preserve">Plastic pollution has been a long-standing environmental concern due to improper waste management. Its persistence in marine environments, particularly in the form of microplastics, posed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strike/>
          <w:color w:val="000000"/>
          <w:sz w:val="22"/>
          <w:szCs w:val="22"/>
        </w:rPr>
        <w:t>recommend</w:t>
      </w:r>
      <w:r>
        <w:rPr>
          <w:strike w:val="false"/>
          <w:dstrike w:val="false"/>
          <w:color w:val="808080"/>
          <w:sz w:val="22"/>
          <w:szCs w:val="22"/>
        </w:rPr>
        <w:t xml:space="preserve"> (FP-Rec)</w:t>
      </w:r>
      <w:r>
        <w:rPr>
          <w:strike w:val="false"/>
          <w:dstrike w:val="false"/>
          <w:color w:val="000000"/>
          <w:sz w:val="22"/>
          <w:szCs w:val="22"/>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pPr>
        <w:pStyle w:val="normal1"/>
        <w:keepNext w:val="true"/>
        <w:spacing w:lineRule="auto" w:line="480" w:before="0" w:after="0"/>
        <w:ind w:firstLine="720"/>
        <w:jc w:val="both"/>
        <w:rPr>
          <w:b/>
          <w:bCs/>
        </w:rPr>
      </w:pPr>
      <w:r>
        <w:rPr>
          <w:b/>
          <w:bCs/>
          <w:sz w:val="22"/>
          <w:szCs w:val="22"/>
        </w:rPr>
        <w:t>VM10 · 277 words · 0 hedges · 0.0 per 100 words</w:t>
      </w:r>
    </w:p>
    <w:p>
      <w:pPr>
        <w:pStyle w:val="normal1"/>
        <w:spacing w:lineRule="auto" w:line="480" w:before="0" w:after="0"/>
        <w:ind w:firstLine="720"/>
        <w:jc w:val="both"/>
        <w:rPr/>
      </w:pPr>
      <w:r>
        <w:rPr>
          <w:strike w:val="false"/>
          <w:dstrike w:val="false"/>
          <w:color w:val="000000"/>
          <w:sz w:val="22"/>
          <w:szCs w:val="22"/>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strike w:val="false"/>
          <w:dstrike w:val="false"/>
          <w:color w:val="000000"/>
          <w:sz w:val="22"/>
          <w:szCs w:val="22"/>
          <w:shd w:fill="BFBFBF" w:val="clear"/>
        </w:rPr>
        <w:t>were</w:t>
      </w:r>
      <w:r>
        <w:rPr>
          <w:strike w:val="false"/>
          <w:dstrike w:val="false"/>
          <w:color w:val="000000"/>
          <w:sz w:val="22"/>
          <w:szCs w:val="22"/>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pPr>
        <w:pStyle w:val="normal1"/>
        <w:keepNext w:val="true"/>
        <w:spacing w:lineRule="auto" w:line="480" w:before="0" w:after="0"/>
        <w:ind w:firstLine="720"/>
        <w:jc w:val="both"/>
        <w:rPr>
          <w:b/>
          <w:bCs/>
        </w:rPr>
      </w:pPr>
      <w:r>
        <w:rPr>
          <w:b/>
          <w:bCs/>
          <w:sz w:val="22"/>
          <w:szCs w:val="22"/>
        </w:rPr>
        <w:t>VM11 · 236 words · 0 hedges · 0.0 per 100 words</w:t>
      </w:r>
    </w:p>
    <w:p>
      <w:pPr>
        <w:pStyle w:val="normal1"/>
        <w:spacing w:lineRule="auto" w:line="480" w:before="0" w:after="0"/>
        <w:ind w:firstLine="720"/>
        <w:jc w:val="both"/>
        <w:rPr/>
      </w:pPr>
      <w:r>
        <w:rPr>
          <w:strike w:val="false"/>
          <w:dstrike w:val="false"/>
          <w:color w:val="000000"/>
          <w:sz w:val="22"/>
          <w:szCs w:val="22"/>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strike/>
          <w:color w:val="000000"/>
          <w:sz w:val="22"/>
          <w:szCs w:val="22"/>
        </w:rPr>
        <w:t>possibility</w:t>
      </w:r>
      <w:r>
        <w:rPr>
          <w:strike w:val="false"/>
          <w:dstrike w:val="false"/>
          <w:color w:val="808080"/>
          <w:sz w:val="22"/>
          <w:szCs w:val="22"/>
        </w:rPr>
        <w:t xml:space="preserve"> (FP-Gen)</w:t>
      </w:r>
      <w:r>
        <w:rPr>
          <w:strike w:val="false"/>
          <w:dstrike w:val="false"/>
          <w:color w:val="000000"/>
          <w:sz w:val="22"/>
          <w:szCs w:val="22"/>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pPr>
        <w:pStyle w:val="normal1"/>
        <w:keepNext w:val="true"/>
        <w:spacing w:lineRule="auto" w:line="480" w:before="0" w:after="0"/>
        <w:ind w:firstLine="720"/>
        <w:jc w:val="both"/>
        <w:rPr/>
      </w:pPr>
      <w:r>
        <w:rPr>
          <w:sz w:val="22"/>
          <w:szCs w:val="22"/>
        </w:rPr>
        <w:t>VM12 · 182 words · 1 hedges · 0.55 per 100 words</w:t>
      </w:r>
    </w:p>
    <w:p>
      <w:pPr>
        <w:pStyle w:val="normal1"/>
        <w:spacing w:lineRule="auto" w:line="480" w:before="0" w:after="0"/>
        <w:ind w:firstLine="720"/>
        <w:jc w:val="both"/>
        <w:rPr/>
      </w:pPr>
      <w:r>
        <w:rPr>
          <w:strike w:val="false"/>
          <w:dstrike w:val="false"/>
          <w:color w:val="000000"/>
          <w:sz w:val="22"/>
          <w:szCs w:val="22"/>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strike w:val="false"/>
          <w:dstrike w:val="false"/>
          <w:color w:val="000000"/>
          <w:sz w:val="22"/>
          <w:szCs w:val="22"/>
          <w:shd w:fill="00B0F0" w:val="clear"/>
        </w:rPr>
        <w:t>might</w:t>
      </w:r>
      <w:r>
        <w:rPr>
          <w:strike w:val="false"/>
          <w:dstrike w:val="false"/>
          <w:color w:val="ED7D31"/>
          <w:sz w:val="22"/>
          <w:szCs w:val="22"/>
        </w:rPr>
        <w:t xml:space="preserve"> (EC)</w:t>
      </w:r>
      <w:r>
        <w:rPr>
          <w:strike w:val="false"/>
          <w:dstrike w:val="false"/>
          <w:color w:val="000000"/>
          <w:sz w:val="22"/>
          <w:szCs w:val="22"/>
        </w:rPr>
        <w:t xml:space="preserve"> be effective in preventing, controlling, and managing the spread of ASF, but it is not conclusive that ASF is not present in the municipality of [REDACTED]. Nevertheless, it is </w:t>
      </w:r>
      <w:r>
        <w:rPr>
          <w:strike/>
          <w:color w:val="000000"/>
          <w:sz w:val="22"/>
          <w:szCs w:val="22"/>
        </w:rPr>
        <w:t>recommended</w:t>
      </w:r>
      <w:r>
        <w:rPr>
          <w:strike w:val="false"/>
          <w:dstrike w:val="false"/>
          <w:color w:val="808080"/>
          <w:sz w:val="22"/>
          <w:szCs w:val="22"/>
        </w:rPr>
        <w:t xml:space="preserve"> (FP-Rec)</w:t>
      </w:r>
      <w:r>
        <w:rPr>
          <w:strike w:val="false"/>
          <w:dstrike w:val="false"/>
          <w:color w:val="000000"/>
          <w:sz w:val="22"/>
          <w:szCs w:val="22"/>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pPr>
        <w:pStyle w:val="normal1"/>
        <w:keepNext w:val="true"/>
        <w:spacing w:lineRule="auto" w:line="480" w:before="0" w:after="0"/>
        <w:ind w:firstLine="720"/>
        <w:jc w:val="both"/>
        <w:rPr>
          <w:b/>
          <w:bCs/>
        </w:rPr>
      </w:pPr>
      <w:r>
        <w:rPr>
          <w:b/>
          <w:bCs/>
          <w:sz w:val="22"/>
          <w:szCs w:val="22"/>
        </w:rPr>
        <w:t>VM13 · 215 words · 0 hedges · 0.0 per 100 words</w:t>
      </w:r>
    </w:p>
    <w:p>
      <w:pPr>
        <w:pStyle w:val="normal1"/>
        <w:spacing w:lineRule="auto" w:line="480" w:before="0" w:after="0"/>
        <w:ind w:firstLine="720"/>
        <w:jc w:val="both"/>
        <w:rPr/>
      </w:pPr>
      <w:r>
        <w:rPr>
          <w:strike w:val="false"/>
          <w:dstrike w:val="false"/>
          <w:color w:val="000000"/>
          <w:sz w:val="22"/>
          <w:szCs w:val="22"/>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pPr>
        <w:pStyle w:val="normal1"/>
        <w:keepNext w:val="true"/>
        <w:spacing w:lineRule="auto" w:line="480" w:before="0" w:after="0"/>
        <w:ind w:firstLine="720"/>
        <w:jc w:val="both"/>
        <w:rPr>
          <w:b/>
          <w:bCs/>
        </w:rPr>
      </w:pPr>
      <w:r>
        <w:rPr>
          <w:b/>
          <w:bCs/>
          <w:sz w:val="22"/>
          <w:szCs w:val="22"/>
        </w:rPr>
        <w:t>VM14 · 183 words · 0 hedges · 0.0 per 100 words</w:t>
      </w:r>
    </w:p>
    <w:p>
      <w:pPr>
        <w:pStyle w:val="normal1"/>
        <w:spacing w:lineRule="auto" w:line="480" w:before="0" w:after="0"/>
        <w:ind w:firstLine="720"/>
        <w:jc w:val="both"/>
        <w:rPr/>
      </w:pPr>
      <w:r>
        <w:rPr>
          <w:strike w:val="false"/>
          <w:dstrike w:val="false"/>
          <w:color w:val="000000"/>
          <w:sz w:val="22"/>
          <w:szCs w:val="22"/>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strike/>
          <w:color w:val="000000"/>
          <w:sz w:val="22"/>
          <w:szCs w:val="22"/>
        </w:rPr>
        <w:t>indicated</w:t>
      </w:r>
      <w:r>
        <w:rPr>
          <w:strike w:val="false"/>
          <w:dstrike w:val="false"/>
          <w:color w:val="808080"/>
          <w:sz w:val="22"/>
          <w:szCs w:val="22"/>
        </w:rPr>
        <w:t xml:space="preserve"> (FP-Gen)</w:t>
      </w:r>
      <w:r>
        <w:rPr>
          <w:strike w:val="false"/>
          <w:dstrike w:val="false"/>
          <w:color w:val="000000"/>
          <w:sz w:val="22"/>
          <w:szCs w:val="22"/>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pPr>
        <w:pStyle w:val="normal1"/>
        <w:keepNext w:val="true"/>
        <w:spacing w:lineRule="auto" w:line="480" w:before="0" w:after="0"/>
        <w:ind w:firstLine="720"/>
        <w:jc w:val="both"/>
        <w:rPr>
          <w:b/>
          <w:bCs/>
        </w:rPr>
      </w:pPr>
      <w:r>
        <w:rPr>
          <w:b/>
          <w:bCs/>
          <w:sz w:val="22"/>
          <w:szCs w:val="22"/>
        </w:rPr>
        <w:t>VM15 · 258 words · 1 hedges · 0.39 per 100 words</w:t>
      </w:r>
    </w:p>
    <w:p>
      <w:pPr>
        <w:pStyle w:val="normal1"/>
        <w:spacing w:lineRule="auto" w:line="480" w:before="0" w:after="0"/>
        <w:ind w:firstLine="720"/>
        <w:jc w:val="both"/>
        <w:rPr/>
      </w:pPr>
      <w:r>
        <w:rPr>
          <w:strike w:val="false"/>
          <w:dstrike w:val="false"/>
          <w:color w:val="000000"/>
          <w:sz w:val="22"/>
          <w:szCs w:val="22"/>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strike/>
          <w:color w:val="000000"/>
          <w:sz w:val="22"/>
          <w:szCs w:val="22"/>
        </w:rPr>
        <w:t>potential</w:t>
      </w:r>
      <w:r>
        <w:rPr>
          <w:strike w:val="false"/>
          <w:dstrike w:val="false"/>
          <w:color w:val="808080"/>
          <w:sz w:val="22"/>
          <w:szCs w:val="22"/>
        </w:rPr>
        <w:t xml:space="preserve"> (FP-Gen)</w:t>
      </w:r>
      <w:r>
        <w:rPr>
          <w:strike w:val="false"/>
          <w:dstrike w:val="false"/>
          <w:color w:val="000000"/>
          <w:sz w:val="22"/>
          <w:szCs w:val="22"/>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strike w:val="false"/>
          <w:dstrike w:val="false"/>
          <w:color w:val="FFFFFF"/>
          <w:sz w:val="22"/>
          <w:szCs w:val="22"/>
          <w:highlight w:val="red"/>
        </w:rPr>
        <w:t>suggests</w:t>
      </w:r>
      <w:r>
        <w:rPr>
          <w:strike w:val="false"/>
          <w:dstrike w:val="false"/>
          <w:color w:val="ED7D31"/>
          <w:sz w:val="22"/>
          <w:szCs w:val="22"/>
        </w:rPr>
        <w:t xml:space="preserve"> (EC)</w:t>
      </w:r>
      <w:r>
        <w:rPr>
          <w:strike w:val="false"/>
          <w:dstrike w:val="false"/>
          <w:color w:val="000000"/>
          <w:sz w:val="22"/>
          <w:szCs w:val="22"/>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pPr>
        <w:pStyle w:val="normal1"/>
        <w:keepNext w:val="true"/>
        <w:spacing w:lineRule="auto" w:line="480" w:before="0" w:after="0"/>
        <w:ind w:firstLine="720"/>
        <w:jc w:val="both"/>
        <w:rPr>
          <w:b/>
          <w:bCs/>
        </w:rPr>
      </w:pPr>
      <w:r>
        <w:rPr>
          <w:b/>
          <w:bCs/>
          <w:sz w:val="22"/>
          <w:szCs w:val="22"/>
        </w:rPr>
        <w:t>VM16 · 261 words · 0 hedges · 0.0 per 100 words</w:t>
      </w:r>
    </w:p>
    <w:p>
      <w:pPr>
        <w:pStyle w:val="normal1"/>
        <w:spacing w:lineRule="auto" w:line="480" w:before="0" w:after="0"/>
        <w:ind w:firstLine="720"/>
        <w:jc w:val="both"/>
        <w:rPr/>
      </w:pPr>
      <w:r>
        <w:rPr>
          <w:strike w:val="false"/>
          <w:dstrike w:val="false"/>
          <w:color w:val="000000"/>
          <w:sz w:val="22"/>
          <w:szCs w:val="22"/>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strike w:val="false"/>
          <w:dstrike w:val="false"/>
          <w:color w:val="000000"/>
          <w:sz w:val="22"/>
          <w:szCs w:val="22"/>
          <w:shd w:fill="BFBFBF" w:val="clear"/>
        </w:rPr>
        <w:t>has</w:t>
      </w:r>
      <w:r>
        <w:rPr>
          <w:strike w:val="false"/>
          <w:dstrike w:val="false"/>
          <w:color w:val="000000"/>
          <w:sz w:val="22"/>
          <w:szCs w:val="22"/>
        </w:rPr>
        <w:t xml:space="preserve"> [G] antibacterial property.</w:t>
      </w:r>
    </w:p>
    <w:p>
      <w:pPr>
        <w:pStyle w:val="normal1"/>
        <w:keepNext w:val="true"/>
        <w:spacing w:lineRule="auto" w:line="480" w:before="0" w:after="0"/>
        <w:ind w:firstLine="720"/>
        <w:jc w:val="both"/>
        <w:rPr>
          <w:b/>
          <w:bCs/>
        </w:rPr>
      </w:pPr>
      <w:r>
        <w:rPr>
          <w:b/>
          <w:bCs/>
          <w:sz w:val="22"/>
          <w:szCs w:val="22"/>
        </w:rPr>
        <w:t>VM17 · 232 words · 1 hedges · 0.43 per 100 words</w:t>
      </w:r>
    </w:p>
    <w:p>
      <w:pPr>
        <w:pStyle w:val="normal1"/>
        <w:spacing w:lineRule="auto" w:line="480" w:before="0" w:after="0"/>
        <w:ind w:firstLine="720"/>
        <w:jc w:val="both"/>
        <w:rPr/>
      </w:pPr>
      <w:r>
        <w:rPr>
          <w:strike w:val="false"/>
          <w:dstrike w:val="false"/>
          <w:color w:val="000000"/>
          <w:sz w:val="22"/>
          <w:szCs w:val="22"/>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of butterfly pea flower aqueous extract in improving the survival of zebrafish at its larval stage.</w:t>
      </w:r>
    </w:p>
    <w:p>
      <w:pPr>
        <w:pStyle w:val="normal1"/>
        <w:keepNext w:val="true"/>
        <w:spacing w:lineRule="auto" w:line="480" w:before="0" w:after="0"/>
        <w:ind w:firstLine="720"/>
        <w:jc w:val="both"/>
        <w:rPr>
          <w:b/>
          <w:bCs/>
        </w:rPr>
      </w:pPr>
      <w:r>
        <w:rPr>
          <w:b/>
          <w:bCs/>
          <w:sz w:val="22"/>
          <w:szCs w:val="22"/>
        </w:rPr>
        <w:t>VM18 · 267 words · 0 hedges · 0.0 per 100 words</w:t>
      </w:r>
    </w:p>
    <w:p>
      <w:pPr>
        <w:pStyle w:val="normal1"/>
        <w:spacing w:lineRule="auto" w:line="480" w:before="0" w:after="0"/>
        <w:ind w:firstLine="720"/>
        <w:jc w:val="both"/>
        <w:rPr/>
      </w:pPr>
      <w:r>
        <w:rPr>
          <w:strike w:val="false"/>
          <w:dstrike w:val="false"/>
          <w:color w:val="000000"/>
          <w:sz w:val="22"/>
          <w:szCs w:val="22"/>
        </w:rPr>
        <w:t xml:space="preserve">Zoonotic diseases are a significant public health concern, particularly those that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pPr>
        <w:pStyle w:val="normal1"/>
        <w:keepNext w:val="true"/>
        <w:spacing w:lineRule="auto" w:line="480" w:before="0" w:after="0"/>
        <w:ind w:firstLine="720"/>
        <w:jc w:val="both"/>
        <w:rPr>
          <w:b/>
          <w:bCs/>
        </w:rPr>
      </w:pPr>
      <w:r>
        <w:rPr>
          <w:b/>
          <w:bCs/>
          <w:sz w:val="22"/>
          <w:szCs w:val="22"/>
        </w:rPr>
        <w:t>VM19 · 172 words · 0 hedges · 0.0 per 100 words</w:t>
      </w:r>
    </w:p>
    <w:p>
      <w:pPr>
        <w:pStyle w:val="normal1"/>
        <w:spacing w:lineRule="auto" w:line="480" w:before="0" w:after="0"/>
        <w:ind w:firstLine="720"/>
        <w:jc w:val="both"/>
        <w:rPr/>
      </w:pPr>
      <w:r>
        <w:rPr>
          <w:strike w:val="false"/>
          <w:dstrike w:val="false"/>
          <w:color w:val="000000"/>
          <w:sz w:val="22"/>
          <w:szCs w:val="22"/>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pPr>
        <w:pStyle w:val="normal1"/>
        <w:keepNext w:val="true"/>
        <w:spacing w:lineRule="auto" w:line="480" w:before="0" w:after="0"/>
        <w:ind w:firstLine="720"/>
        <w:jc w:val="both"/>
        <w:rPr>
          <w:b/>
          <w:bCs/>
        </w:rPr>
      </w:pPr>
      <w:r>
        <w:rPr>
          <w:b/>
          <w:bCs/>
          <w:sz w:val="22"/>
          <w:szCs w:val="22"/>
        </w:rPr>
        <w:t>VM20 · 271 words · 0 hedges · 0.0 per 100 words</w:t>
      </w:r>
    </w:p>
    <w:p>
      <w:pPr>
        <w:pStyle w:val="normal1"/>
        <w:spacing w:lineRule="auto" w:line="480" w:before="0" w:after="0"/>
        <w:ind w:firstLine="720"/>
        <w:jc w:val="both"/>
        <w:rPr/>
      </w:pPr>
      <w:r>
        <w:rPr>
          <w:strike w:val="false"/>
          <w:dstrike w:val="false"/>
          <w:color w:val="000000"/>
          <w:sz w:val="22"/>
          <w:szCs w:val="22"/>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strike/>
          <w:color w:val="000000"/>
          <w:sz w:val="22"/>
          <w:szCs w:val="22"/>
        </w:rPr>
        <w:t>recommended</w:t>
      </w:r>
      <w:r>
        <w:rPr>
          <w:strike w:val="false"/>
          <w:dstrike w:val="false"/>
          <w:color w:val="808080"/>
          <w:sz w:val="22"/>
          <w:szCs w:val="22"/>
        </w:rPr>
        <w:t xml:space="preserve"> (FP-Rec)</w:t>
      </w:r>
      <w:r>
        <w:rPr>
          <w:strike w:val="false"/>
          <w:dstrike w:val="false"/>
          <w:color w:val="000000"/>
          <w:sz w:val="22"/>
          <w:szCs w:val="22"/>
        </w:rPr>
        <w:t xml:space="preserve"> to mitigate rabies transmission risks. These insights align with broader efforts toward rabies elimination in the Philippines by 2030, emphasizing the importance of addressing localized KAP gaps through evidence-based interventions.</w:t>
      </w:r>
    </w:p>
    <w:p>
      <w:pPr>
        <w:pStyle w:val="normal1"/>
        <w:keepNext w:val="true"/>
        <w:keepLines/>
        <w:spacing w:lineRule="auto" w:line="480" w:before="240" w:after="0"/>
        <w:ind w:hanging="0" w:left="0"/>
        <w:jc w:val="both"/>
        <w:rPr>
          <w:sz w:val="24"/>
          <w:szCs w:val="24"/>
        </w:rPr>
      </w:pPr>
      <w:r>
        <w:rPr>
          <w:b/>
          <w:bCs/>
          <w:sz w:val="24"/>
          <w:szCs w:val="24"/>
        </w:rPr>
        <w:t>Agriculture, Crop Science (Acs1–Acs10)</w:t>
      </w:r>
    </w:p>
    <w:p>
      <w:pPr>
        <w:pStyle w:val="normal1"/>
        <w:keepNext w:val="true"/>
        <w:spacing w:lineRule="auto" w:line="480" w:before="0" w:after="0"/>
        <w:ind w:firstLine="720"/>
        <w:jc w:val="both"/>
        <w:rPr>
          <w:b/>
          <w:bCs/>
        </w:rPr>
      </w:pPr>
      <w:r>
        <w:rPr>
          <w:b/>
          <w:bCs/>
          <w:sz w:val="22"/>
          <w:szCs w:val="22"/>
        </w:rPr>
        <w:t>Acs1 · 203 words · 1 hedges · 0.49 per 100 words</w:t>
      </w:r>
    </w:p>
    <w:p>
      <w:pPr>
        <w:pStyle w:val="normal1"/>
        <w:spacing w:lineRule="auto" w:line="480" w:before="0" w:after="0"/>
        <w:ind w:firstLine="720"/>
        <w:jc w:val="both"/>
        <w:rPr/>
      </w:pPr>
      <w:r>
        <w:rPr>
          <w:strike w:val="false"/>
          <w:dstrike w:val="false"/>
          <w:color w:val="000000"/>
          <w:sz w:val="22"/>
          <w:szCs w:val="22"/>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strike w:val="false"/>
          <w:dstrike w:val="false"/>
          <w:color w:val="FFFFFF"/>
          <w:sz w:val="22"/>
          <w:szCs w:val="22"/>
          <w:highlight w:val="red"/>
        </w:rPr>
        <w:t>suggest</w:t>
      </w:r>
      <w:r>
        <w:rPr>
          <w:strike w:val="false"/>
          <w:dstrike w:val="false"/>
          <w:color w:val="ED7D31"/>
          <w:sz w:val="22"/>
          <w:szCs w:val="22"/>
        </w:rPr>
        <w:t xml:space="preserve"> (EC)</w:t>
      </w:r>
      <w:r>
        <w:rPr>
          <w:strike w:val="false"/>
          <w:dstrike w:val="false"/>
          <w:color w:val="000000"/>
          <w:sz w:val="22"/>
          <w:szCs w:val="22"/>
        </w:rPr>
        <w:t xml:space="preserve"> that fermented banana peel, when applied at an optimal rate in combination with reduced synthetic fertilizer input,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significantly enhance the growth and yield performance of finger pepper, offering a sustainable alternative for crop production.</w:t>
      </w:r>
    </w:p>
    <w:p>
      <w:pPr>
        <w:pStyle w:val="normal1"/>
        <w:keepNext w:val="true"/>
        <w:spacing w:lineRule="auto" w:line="480" w:before="0" w:after="0"/>
        <w:ind w:firstLine="720"/>
        <w:jc w:val="both"/>
        <w:rPr>
          <w:b/>
          <w:bCs/>
        </w:rPr>
      </w:pPr>
      <w:r>
        <w:rPr>
          <w:b/>
          <w:bCs/>
          <w:sz w:val="22"/>
          <w:szCs w:val="22"/>
        </w:rPr>
        <w:t>Acs2 · 184 words · 8 hedges · 4.35 per 100 words</w:t>
      </w:r>
    </w:p>
    <w:p>
      <w:pPr>
        <w:pStyle w:val="normal1"/>
        <w:spacing w:lineRule="auto" w:line="480" w:before="0" w:after="0"/>
        <w:ind w:firstLine="720"/>
        <w:jc w:val="both"/>
        <w:rPr/>
      </w:pPr>
      <w:r>
        <w:rPr>
          <w:strike w:val="false"/>
          <w:dstrike w:val="false"/>
          <w:color w:val="000000"/>
          <w:sz w:val="22"/>
          <w:szCs w:val="22"/>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strike w:val="false"/>
          <w:dstrike w:val="false"/>
          <w:color w:val="FFFFFF"/>
          <w:sz w:val="22"/>
          <w:szCs w:val="22"/>
          <w:highlight w:val="red"/>
        </w:rPr>
        <w:t>suggests</w:t>
      </w:r>
      <w:r>
        <w:rPr>
          <w:strike w:val="false"/>
          <w:dstrike w:val="false"/>
          <w:color w:val="ED7D31"/>
          <w:sz w:val="22"/>
          <w:szCs w:val="22"/>
        </w:rPr>
        <w:t xml:space="preserve"> (EC)</w:t>
      </w:r>
      <w:r>
        <w:rPr>
          <w:strike w:val="false"/>
          <w:dstrike w:val="false"/>
          <w:color w:val="000000"/>
          <w:sz w:val="22"/>
          <w:szCs w:val="22"/>
        </w:rPr>
        <w:t xml:space="preserve"> that while statistical significance </w:t>
      </w:r>
      <w:r>
        <w:rPr>
          <w:strike w:val="false"/>
          <w:dstrike w:val="false"/>
          <w:color w:val="000000"/>
          <w:sz w:val="22"/>
          <w:szCs w:val="22"/>
          <w:shd w:fill="00B0F0" w:val="clear"/>
        </w:rPr>
        <w:t>might</w:t>
      </w:r>
      <w:r>
        <w:rPr>
          <w:strike w:val="false"/>
          <w:dstrike w:val="false"/>
          <w:color w:val="ED7D31"/>
          <w:sz w:val="22"/>
          <w:szCs w:val="22"/>
        </w:rPr>
        <w:t xml:space="preserve"> (EC)</w:t>
      </w:r>
      <w:r>
        <w:rPr>
          <w:strike w:val="false"/>
          <w:dstrike w:val="false"/>
          <w:color w:val="000000"/>
          <w:sz w:val="22"/>
          <w:szCs w:val="22"/>
        </w:rPr>
        <w:t xml:space="preserve"> not have been observed, the mycorrhiza treatment </w:t>
      </w:r>
      <w:r>
        <w:rPr>
          <w:strike w:val="false"/>
          <w:dstrike w:val="false"/>
          <w:color w:val="000000"/>
          <w:sz w:val="22"/>
          <w:szCs w:val="22"/>
          <w:shd w:fill="00B0F0" w:val="clear"/>
        </w:rPr>
        <w:t>could</w:t>
      </w:r>
      <w:r>
        <w:rPr>
          <w:strike w:val="false"/>
          <w:dstrike w:val="false"/>
          <w:color w:val="ED7D31"/>
          <w:sz w:val="22"/>
          <w:szCs w:val="22"/>
        </w:rPr>
        <w:t xml:space="preserve"> (EC)</w:t>
      </w:r>
      <w:r>
        <w:rPr>
          <w:strike w:val="false"/>
          <w:dstrike w:val="false"/>
          <w:color w:val="000000"/>
          <w:sz w:val="22"/>
          <w:szCs w:val="22"/>
        </w:rPr>
        <w:t xml:space="preserve"> still offer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strike w:val="false"/>
          <w:dstrike w:val="false"/>
          <w:color w:val="FFFFFF"/>
          <w:sz w:val="22"/>
          <w:szCs w:val="22"/>
          <w:highlight w:val="red"/>
        </w:rPr>
        <w:t>suggests</w:t>
      </w:r>
      <w:r>
        <w:rPr>
          <w:strike w:val="false"/>
          <w:dstrike w:val="false"/>
          <w:color w:val="ED7D31"/>
          <w:sz w:val="22"/>
          <w:szCs w:val="22"/>
        </w:rPr>
        <w:t xml:space="preserve"> (EC)</w:t>
      </w:r>
      <w:r>
        <w:rPr>
          <w:strike w:val="false"/>
          <w:dstrike w:val="false"/>
          <w:color w:val="000000"/>
          <w:sz w:val="22"/>
          <w:szCs w:val="22"/>
        </w:rPr>
        <w:t xml:space="preserve"> that while the differences </w:t>
      </w:r>
      <w:r>
        <w:rPr>
          <w:strike w:val="false"/>
          <w:dstrike w:val="false"/>
          <w:color w:val="000000"/>
          <w:sz w:val="22"/>
          <w:szCs w:val="22"/>
          <w:shd w:fill="00B0F0" w:val="clear"/>
        </w:rPr>
        <w:t>might</w:t>
      </w:r>
      <w:r>
        <w:rPr>
          <w:strike w:val="false"/>
          <w:dstrike w:val="false"/>
          <w:color w:val="ED7D31"/>
          <w:sz w:val="22"/>
          <w:szCs w:val="22"/>
        </w:rPr>
        <w:t xml:space="preserve"> (EC)</w:t>
      </w:r>
      <w:r>
        <w:rPr>
          <w:strike w:val="false"/>
          <w:dstrike w:val="false"/>
          <w:color w:val="000000"/>
          <w:sz w:val="22"/>
          <w:szCs w:val="22"/>
        </w:rPr>
        <w:t xml:space="preserve"> not have been significant in the study, the researchers believe that mycorrhiza </w:t>
      </w:r>
      <w:r>
        <w:rPr>
          <w:strike w:val="false"/>
          <w:dstrike w:val="false"/>
          <w:color w:val="000000"/>
          <w:sz w:val="22"/>
          <w:szCs w:val="22"/>
          <w:shd w:fill="00B0F0" w:val="clear"/>
        </w:rPr>
        <w:t>could</w:t>
      </w:r>
      <w:r>
        <w:rPr>
          <w:strike w:val="false"/>
          <w:dstrike w:val="false"/>
          <w:color w:val="ED7D31"/>
          <w:sz w:val="22"/>
          <w:szCs w:val="22"/>
        </w:rPr>
        <w:t xml:space="preserve"> (EC)</w:t>
      </w:r>
      <w:r>
        <w:rPr>
          <w:strike w:val="false"/>
          <w:dstrike w:val="false"/>
          <w:color w:val="000000"/>
          <w:sz w:val="22"/>
          <w:szCs w:val="22"/>
        </w:rPr>
        <w:t xml:space="preserve"> provide beneficial effects in practical agricultural contexts. The study concluded that the application of mycorrhiza positive impact on mung beans during drought and root development highlights its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benefits for plant growth. Further research </w:t>
      </w:r>
      <w:r>
        <w:rPr>
          <w:strike/>
          <w:color w:val="000000"/>
          <w:sz w:val="22"/>
          <w:szCs w:val="22"/>
        </w:rPr>
        <w:t>could</w:t>
      </w:r>
      <w:r>
        <w:rPr>
          <w:strike w:val="false"/>
          <w:dstrike w:val="false"/>
          <w:color w:val="808080"/>
          <w:sz w:val="22"/>
          <w:szCs w:val="22"/>
        </w:rPr>
        <w:t xml:space="preserve"> (FP-Gen)</w:t>
      </w:r>
      <w:r>
        <w:rPr>
          <w:strike w:val="false"/>
          <w:dstrike w:val="false"/>
          <w:color w:val="000000"/>
          <w:sz w:val="22"/>
          <w:szCs w:val="22"/>
        </w:rPr>
        <w:t xml:space="preserve"> unveil additional insights and applications for optimizing plant health.</w:t>
      </w:r>
    </w:p>
    <w:p>
      <w:pPr>
        <w:pStyle w:val="normal1"/>
        <w:keepNext w:val="true"/>
        <w:spacing w:lineRule="auto" w:line="480" w:before="0" w:after="0"/>
        <w:ind w:firstLine="720"/>
        <w:jc w:val="both"/>
        <w:rPr>
          <w:b/>
          <w:bCs/>
        </w:rPr>
      </w:pPr>
      <w:r>
        <w:rPr>
          <w:b/>
          <w:bCs/>
          <w:sz w:val="22"/>
          <w:szCs w:val="22"/>
        </w:rPr>
        <w:t>Acs3 · 235 words · 2 hedges · 0.85 per 100 words</w:t>
      </w:r>
    </w:p>
    <w:p>
      <w:pPr>
        <w:pStyle w:val="normal1"/>
        <w:spacing w:lineRule="auto" w:line="480" w:before="0" w:after="0"/>
        <w:ind w:firstLine="720"/>
        <w:jc w:val="both"/>
        <w:rPr/>
      </w:pPr>
      <w:r>
        <w:rPr>
          <w:strike w:val="false"/>
          <w:dstrike w:val="false"/>
          <w:color w:val="000000"/>
          <w:sz w:val="22"/>
          <w:szCs w:val="22"/>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the number of rooted cuttings obtained by application of aloe vera gel and moringa leaf extract was comparable in percentage survival with that obtained by application of water (distilled or filtered water) on monstera cuttings. Most </w:t>
      </w:r>
      <w:r>
        <w:rPr>
          <w:strike w:val="false"/>
          <w:dstrike w:val="false"/>
          <w:color w:val="000000"/>
          <w:sz w:val="22"/>
          <w:szCs w:val="22"/>
          <w:shd w:fill="00B0F0" w:val="clear"/>
        </w:rPr>
        <w:t>can</w:t>
      </w:r>
      <w:r>
        <w:rPr>
          <w:strike w:val="false"/>
          <w:dstrike w:val="false"/>
          <w:color w:val="ED7D31"/>
          <w:sz w:val="22"/>
          <w:szCs w:val="22"/>
        </w:rPr>
        <w:t xml:space="preserve"> (EC)</w:t>
      </w:r>
      <w:r>
        <w:rPr>
          <w:strike w:val="false"/>
          <w:dstrike w:val="false"/>
          <w:color w:val="000000"/>
          <w:sz w:val="22"/>
          <w:szCs w:val="22"/>
        </w:rPr>
        <w:t xml:space="preserve"> survive the water treatment application but </w:t>
      </w:r>
      <w:r>
        <w:rPr>
          <w:strike w:val="false"/>
          <w:dstrike w:val="false"/>
          <w:color w:val="000000"/>
          <w:sz w:val="22"/>
          <w:szCs w:val="22"/>
          <w:shd w:fill="00B0F0" w:val="clear"/>
        </w:rPr>
        <w:t>may</w:t>
      </w:r>
      <w:r>
        <w:rPr>
          <w:strike w:val="false"/>
          <w:dstrike w:val="false"/>
          <w:color w:val="ED7D31"/>
          <w:sz w:val="22"/>
          <w:szCs w:val="22"/>
        </w:rPr>
        <w:t xml:space="preserve"> (EC)</w:t>
      </w:r>
      <w:r>
        <w:rPr>
          <w:strike w:val="false"/>
          <w:dstrike w:val="false"/>
          <w:color w:val="000000"/>
          <w:sz w:val="22"/>
          <w:szCs w:val="22"/>
        </w:rPr>
        <w:t xml:space="preserve"> not establish roots and die after several days. However, it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be derived that the application of different alternative rooting hormones has a comparable effect with synthetic rooting hormones based on the growth parameters.</w:t>
      </w:r>
    </w:p>
    <w:p>
      <w:pPr>
        <w:pStyle w:val="normal1"/>
        <w:keepNext w:val="true"/>
        <w:spacing w:lineRule="auto" w:line="480" w:before="0" w:after="0"/>
        <w:ind w:firstLine="720"/>
        <w:jc w:val="both"/>
        <w:rPr>
          <w:b/>
          <w:bCs/>
        </w:rPr>
      </w:pPr>
      <w:r>
        <w:rPr>
          <w:b/>
          <w:bCs/>
          <w:sz w:val="22"/>
          <w:szCs w:val="22"/>
        </w:rPr>
        <w:t>Acs4 · 221 words · 0 hedges · 0.0 per 100 words</w:t>
      </w:r>
    </w:p>
    <w:p>
      <w:pPr>
        <w:pStyle w:val="normal1"/>
        <w:spacing w:lineRule="auto" w:line="480" w:before="0" w:after="0"/>
        <w:ind w:firstLine="720"/>
        <w:jc w:val="both"/>
        <w:rPr/>
      </w:pPr>
      <w:r>
        <w:rPr>
          <w:strike w:val="false"/>
          <w:dstrike w:val="false"/>
          <w:color w:val="000000"/>
          <w:sz w:val="22"/>
          <w:szCs w:val="22"/>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the application of seaweed extract as a bio stimulant did not significantly enhance the growth and yield of sweet potato. However, the negative control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reduce production cost and provide the highest return on investment.</w:t>
      </w:r>
    </w:p>
    <w:p>
      <w:pPr>
        <w:pStyle w:val="normal1"/>
        <w:keepNext w:val="true"/>
        <w:spacing w:lineRule="auto" w:line="480" w:before="0" w:after="0"/>
        <w:ind w:firstLine="720"/>
        <w:jc w:val="both"/>
        <w:rPr>
          <w:b/>
          <w:bCs/>
        </w:rPr>
      </w:pPr>
      <w:r>
        <w:rPr>
          <w:b/>
          <w:bCs/>
          <w:sz w:val="22"/>
          <w:szCs w:val="22"/>
        </w:rPr>
        <w:t>Acs5 · 199 words · 2 hedges · 1.01 per 100 words</w:t>
      </w:r>
    </w:p>
    <w:p>
      <w:pPr>
        <w:pStyle w:val="normal1"/>
        <w:spacing w:lineRule="auto" w:line="480" w:before="0" w:after="0"/>
        <w:ind w:firstLine="720"/>
        <w:jc w:val="both"/>
        <w:rPr/>
      </w:pPr>
      <w:r>
        <w:rPr>
          <w:strike w:val="false"/>
          <w:dstrike w:val="false"/>
          <w:color w:val="000000"/>
          <w:sz w:val="22"/>
          <w:szCs w:val="22"/>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strike w:val="false"/>
          <w:dstrike w:val="false"/>
          <w:color w:val="FFFFFF"/>
          <w:sz w:val="22"/>
          <w:szCs w:val="22"/>
          <w:highlight w:val="red"/>
        </w:rPr>
        <w:t>suggests</w:t>
      </w:r>
      <w:r>
        <w:rPr>
          <w:strike w:val="false"/>
          <w:dstrike w:val="false"/>
          <w:color w:val="ED7D31"/>
          <w:sz w:val="22"/>
          <w:szCs w:val="22"/>
        </w:rPr>
        <w:t xml:space="preserve"> (EC)</w:t>
      </w:r>
      <w:r>
        <w:rPr>
          <w:strike w:val="false"/>
          <w:dstrike w:val="false"/>
          <w:color w:val="000000"/>
          <w:sz w:val="22"/>
          <w:szCs w:val="22"/>
        </w:rPr>
        <w:t xml:space="preserve"> that Trichoderma and fermented azolla at proper application frequencies </w:t>
      </w:r>
      <w:r>
        <w:rPr>
          <w:strike w:val="false"/>
          <w:dstrike w:val="false"/>
          <w:color w:val="000000"/>
          <w:sz w:val="22"/>
          <w:szCs w:val="22"/>
          <w:shd w:fill="00B0F0" w:val="clear"/>
        </w:rPr>
        <w:t>could</w:t>
      </w:r>
      <w:r>
        <w:rPr>
          <w:strike w:val="false"/>
          <w:dstrike w:val="false"/>
          <w:color w:val="ED7D31"/>
          <w:sz w:val="22"/>
          <w:szCs w:val="22"/>
        </w:rPr>
        <w:t xml:space="preserve"> (EC)</w:t>
      </w:r>
      <w:r>
        <w:rPr>
          <w:strike w:val="false"/>
          <w:dstrike w:val="false"/>
          <w:color w:val="000000"/>
          <w:sz w:val="22"/>
          <w:szCs w:val="22"/>
        </w:rPr>
        <w:t xml:space="preserve"> be beneficial in enhancing cultivation, promoting both plant growth and economic returns.</w:t>
      </w:r>
    </w:p>
    <w:p>
      <w:pPr>
        <w:pStyle w:val="normal1"/>
        <w:keepNext w:val="true"/>
        <w:spacing w:lineRule="auto" w:line="480" w:before="0" w:after="0"/>
        <w:ind w:firstLine="720"/>
        <w:jc w:val="both"/>
        <w:rPr>
          <w:b/>
          <w:bCs/>
        </w:rPr>
      </w:pPr>
      <w:r>
        <w:rPr>
          <w:b/>
          <w:bCs/>
          <w:sz w:val="22"/>
          <w:szCs w:val="22"/>
        </w:rPr>
        <w:t>Acs6 · 245 words · 1 hedges · 0.41 per 100 words</w:t>
      </w:r>
    </w:p>
    <w:p>
      <w:pPr>
        <w:pStyle w:val="normal1"/>
        <w:spacing w:lineRule="auto" w:line="480" w:before="0" w:after="0"/>
        <w:ind w:firstLine="720"/>
        <w:jc w:val="both"/>
        <w:rPr/>
      </w:pPr>
      <w:r>
        <w:rPr>
          <w:strike w:val="false"/>
          <w:dstrike w:val="false"/>
          <w:color w:val="000000"/>
          <w:sz w:val="22"/>
          <w:szCs w:val="22"/>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strike/>
          <w:color w:val="000000"/>
          <w:sz w:val="22"/>
          <w:szCs w:val="22"/>
        </w:rPr>
        <w:t>indicating</w:t>
      </w:r>
      <w:r>
        <w:rPr>
          <w:strike w:val="false"/>
          <w:dstrike w:val="false"/>
          <w:color w:val="808080"/>
          <w:sz w:val="22"/>
          <w:szCs w:val="22"/>
        </w:rPr>
        <w:t xml:space="preserve"> (FP-Gen)</w:t>
      </w:r>
      <w:r>
        <w:rPr>
          <w:strike w:val="false"/>
          <w:dstrike w:val="false"/>
          <w:color w:val="000000"/>
          <w:sz w:val="22"/>
          <w:szCs w:val="22"/>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the use of rice hull and vermicompost significantly enhanced the growth and survival of Adansonii. These findings highlight their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as effective, low-cost, and sustainable soil amendments for ornamental and horticultural cultivation, offering practical options for growers seeking eco-friendly methods to improve plant performance.</w:t>
      </w:r>
    </w:p>
    <w:p>
      <w:pPr>
        <w:pStyle w:val="normal1"/>
        <w:keepNext w:val="true"/>
        <w:spacing w:lineRule="auto" w:line="480" w:before="0" w:after="0"/>
        <w:ind w:firstLine="720"/>
        <w:jc w:val="both"/>
        <w:rPr>
          <w:b/>
          <w:bCs/>
        </w:rPr>
      </w:pPr>
      <w:r>
        <w:rPr>
          <w:b/>
          <w:bCs/>
          <w:sz w:val="22"/>
          <w:szCs w:val="22"/>
        </w:rPr>
        <w:t>Acs7 · 207 words · 1 hedges · 0.48 per 100 words</w:t>
      </w:r>
    </w:p>
    <w:p>
      <w:pPr>
        <w:pStyle w:val="normal1"/>
        <w:spacing w:lineRule="auto" w:line="480" w:before="0" w:after="0"/>
        <w:ind w:firstLine="720"/>
        <w:jc w:val="both"/>
        <w:rPr/>
      </w:pPr>
      <w:r>
        <w:rPr>
          <w:strike w:val="false"/>
          <w:dstrike w:val="false"/>
          <w:color w:val="000000"/>
          <w:sz w:val="22"/>
          <w:szCs w:val="22"/>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strike w:val="false"/>
          <w:dstrike w:val="false"/>
          <w:color w:val="000000"/>
          <w:sz w:val="22"/>
          <w:szCs w:val="22"/>
          <w:shd w:fill="00B0F0" w:val="clear"/>
        </w:rPr>
        <w:t>can</w:t>
      </w:r>
      <w:r>
        <w:rPr>
          <w:strike w:val="false"/>
          <w:dstrike w:val="false"/>
          <w:color w:val="ED7D31"/>
          <w:sz w:val="22"/>
          <w:szCs w:val="22"/>
        </w:rPr>
        <w:t xml:space="preserve"> (EC)</w:t>
      </w:r>
      <w:r>
        <w:rPr>
          <w:strike w:val="false"/>
          <w:dstrike w:val="false"/>
          <w:color w:val="000000"/>
          <w:sz w:val="22"/>
          <w:szCs w:val="22"/>
        </w:rPr>
        <w:t xml:space="preserve"> be attributed to the nutrient-rich content of GB 1000+ FF, which enhances soil conditions and facilitates better nutrient availability. In GB 1000+ FF contributed to vigorous vegetative growth and ultimately led to taller eggplant plants.</w:t>
      </w:r>
    </w:p>
    <w:p>
      <w:pPr>
        <w:pStyle w:val="normal1"/>
        <w:keepNext w:val="true"/>
        <w:spacing w:lineRule="auto" w:line="480" w:before="0" w:after="0"/>
        <w:ind w:firstLine="720"/>
        <w:jc w:val="both"/>
        <w:rPr>
          <w:b/>
          <w:bCs/>
        </w:rPr>
      </w:pPr>
      <w:r>
        <w:rPr>
          <w:b/>
          <w:bCs/>
          <w:sz w:val="22"/>
          <w:szCs w:val="22"/>
        </w:rPr>
        <w:t>Acs8 · 164 words · 0 hedges · 0.0 per 100 words</w:t>
      </w:r>
    </w:p>
    <w:p>
      <w:pPr>
        <w:pStyle w:val="normal1"/>
        <w:spacing w:lineRule="auto" w:line="480" w:before="0" w:after="0"/>
        <w:ind w:firstLine="720"/>
        <w:jc w:val="both"/>
        <w:rPr/>
      </w:pPr>
      <w:r>
        <w:rPr>
          <w:sz w:val="22"/>
          <w:szCs w:val="22"/>
        </w:rPr>
        <w:t>The study on the performance of eggplant applied with different methods of Kuhol Amino Acid Application was conducted at [REDACTED], from December 2024 to March 2024.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influenced [G] the plant height, weight of fruits, number of marketable and non-marketable fruits, and computed yield. The researcher recommends (FP-Rec) foliar and drenching application of kuhol amino acid. because, numerically, it consistently produced the highest yield performance.</w:t>
      </w:r>
    </w:p>
    <w:p>
      <w:pPr>
        <w:pStyle w:val="normal1"/>
        <w:keepNext w:val="true"/>
        <w:spacing w:lineRule="auto" w:line="480" w:before="0" w:after="0"/>
        <w:ind w:firstLine="720"/>
        <w:jc w:val="both"/>
        <w:rPr>
          <w:b/>
          <w:bCs/>
        </w:rPr>
      </w:pPr>
      <w:r>
        <w:rPr>
          <w:b/>
          <w:bCs/>
          <w:sz w:val="22"/>
          <w:szCs w:val="22"/>
        </w:rPr>
        <w:t>Acs9 · 170 words · 2 hedges · 1.18 per 100 words</w:t>
      </w:r>
    </w:p>
    <w:p>
      <w:pPr>
        <w:pStyle w:val="normal1"/>
        <w:spacing w:lineRule="auto" w:line="480" w:before="0" w:after="0"/>
        <w:ind w:firstLine="720"/>
        <w:jc w:val="both"/>
        <w:rPr/>
      </w:pPr>
      <w:r>
        <w:rPr>
          <w:strike w:val="false"/>
          <w:dstrike w:val="false"/>
          <w:color w:val="000000"/>
          <w:sz w:val="22"/>
          <w:szCs w:val="22"/>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strike w:val="false"/>
          <w:dstrike w:val="false"/>
          <w:color w:val="FFFFFF"/>
          <w:sz w:val="22"/>
          <w:szCs w:val="22"/>
          <w:highlight w:val="red"/>
        </w:rPr>
        <w:t>suggest</w:t>
      </w:r>
      <w:r>
        <w:rPr>
          <w:strike w:val="false"/>
          <w:dstrike w:val="false"/>
          <w:color w:val="ED7D31"/>
          <w:sz w:val="22"/>
          <w:szCs w:val="22"/>
        </w:rPr>
        <w:t xml:space="preserve"> (EC)</w:t>
      </w:r>
      <w:r>
        <w:rPr>
          <w:strike w:val="false"/>
          <w:dstrike w:val="false"/>
          <w:color w:val="000000"/>
          <w:sz w:val="22"/>
          <w:szCs w:val="22"/>
        </w:rPr>
        <w:t xml:space="preserve"> that soaking sugarcane setts in Azospirillum spp. biofertilizer for 24 hours </w:t>
      </w:r>
      <w:r>
        <w:rPr>
          <w:strike w:val="false"/>
          <w:dstrike w:val="false"/>
          <w:color w:val="000000"/>
          <w:sz w:val="22"/>
          <w:szCs w:val="22"/>
          <w:shd w:fill="00B0F0" w:val="clear"/>
        </w:rPr>
        <w:t>can</w:t>
      </w:r>
      <w:r>
        <w:rPr>
          <w:strike w:val="false"/>
          <w:dstrike w:val="false"/>
          <w:color w:val="ED7D31"/>
          <w:sz w:val="22"/>
          <w:szCs w:val="22"/>
        </w:rPr>
        <w:t xml:space="preserve"> (EC)</w:t>
      </w:r>
      <w:r>
        <w:rPr>
          <w:strike w:val="false"/>
          <w:dstrike w:val="false"/>
          <w:color w:val="000000"/>
          <w:sz w:val="22"/>
          <w:szCs w:val="22"/>
        </w:rPr>
        <w:t xml:space="preserve"> effectively promote early growth by enhancing root development and biomass accumulation, thereby supporting improved propagation success.</w:t>
      </w:r>
    </w:p>
    <w:p>
      <w:pPr>
        <w:pStyle w:val="normal1"/>
        <w:keepNext w:val="true"/>
        <w:spacing w:lineRule="auto" w:line="480" w:before="0" w:after="0"/>
        <w:ind w:firstLine="720"/>
        <w:jc w:val="both"/>
        <w:rPr>
          <w:b/>
          <w:bCs/>
        </w:rPr>
      </w:pPr>
      <w:r>
        <w:rPr>
          <w:b/>
          <w:bCs/>
          <w:sz w:val="22"/>
          <w:szCs w:val="22"/>
        </w:rPr>
        <w:t>Acs10 · 246 words · 0 hedges · 0.0 per 100 words</w:t>
      </w:r>
    </w:p>
    <w:p>
      <w:pPr>
        <w:pStyle w:val="normal1"/>
        <w:spacing w:lineRule="auto" w:line="480" w:before="0" w:after="0"/>
        <w:ind w:firstLine="720"/>
        <w:jc w:val="both"/>
        <w:rPr/>
      </w:pPr>
      <w:r>
        <w:rPr>
          <w:strike w:val="false"/>
          <w:dstrike w:val="false"/>
          <w:color w:val="000000"/>
          <w:sz w:val="22"/>
          <w:szCs w:val="22"/>
        </w:rPr>
        <w:t xml:space="preserve">The field study </w:t>
      </w:r>
      <w:r>
        <w:rPr>
          <w:strike w:val="false"/>
          <w:dstrike w:val="false"/>
          <w:color w:val="000000"/>
          <w:sz w:val="22"/>
          <w:szCs w:val="22"/>
          <w:shd w:fill="BFBFBF" w:val="clear"/>
        </w:rPr>
        <w:t>was</w:t>
      </w:r>
      <w:r>
        <w:rPr>
          <w:strike w:val="false"/>
          <w:dstrike w:val="false"/>
          <w:color w:val="000000"/>
          <w:sz w:val="22"/>
          <w:szCs w:val="22"/>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pPr>
        <w:pStyle w:val="normal1"/>
        <w:keepNext w:val="true"/>
        <w:keepLines/>
        <w:spacing w:lineRule="auto" w:line="480" w:before="240" w:after="0"/>
        <w:ind w:hanging="0" w:left="0"/>
        <w:jc w:val="both"/>
        <w:rPr>
          <w:sz w:val="24"/>
          <w:szCs w:val="24"/>
        </w:rPr>
      </w:pPr>
      <w:r>
        <w:rPr>
          <w:b/>
          <w:bCs/>
          <w:sz w:val="24"/>
          <w:szCs w:val="24"/>
        </w:rPr>
        <w:t>Agriculture, Animal Science (Aas1–Aas10)</w:t>
      </w:r>
    </w:p>
    <w:p>
      <w:pPr>
        <w:pStyle w:val="normal1"/>
        <w:keepNext w:val="true"/>
        <w:spacing w:lineRule="auto" w:line="480" w:before="0" w:after="0"/>
        <w:ind w:firstLine="720"/>
        <w:jc w:val="both"/>
        <w:rPr>
          <w:b/>
          <w:bCs/>
        </w:rPr>
      </w:pPr>
      <w:r>
        <w:rPr>
          <w:b/>
          <w:bCs/>
          <w:sz w:val="22"/>
          <w:szCs w:val="22"/>
        </w:rPr>
        <w:t>Aas1 · 203 words · 0 hedges · 0.0 per 100 words</w:t>
      </w:r>
    </w:p>
    <w:p>
      <w:pPr>
        <w:pStyle w:val="normal1"/>
        <w:spacing w:lineRule="auto" w:line="480" w:before="0" w:after="0"/>
        <w:ind w:firstLine="720"/>
        <w:jc w:val="both"/>
        <w:rPr/>
      </w:pPr>
      <w:r>
        <w:rPr>
          <w:strike w:val="false"/>
          <w:dstrike w:val="false"/>
          <w:color w:val="000000"/>
          <w:sz w:val="22"/>
          <w:szCs w:val="22"/>
        </w:rPr>
        <w:t xml:space="preserve">The field </w:t>
      </w:r>
      <w:r>
        <w:rPr>
          <w:strike w:val="false"/>
          <w:dstrike w:val="false"/>
          <w:color w:val="000000"/>
          <w:sz w:val="22"/>
          <w:szCs w:val="22"/>
          <w:shd w:fill="BFBFBF" w:val="clear"/>
        </w:rPr>
        <w:t>was</w:t>
      </w:r>
      <w:r>
        <w:rPr>
          <w:strike w:val="false"/>
          <w:dstrike w:val="false"/>
          <w:color w:val="000000"/>
          <w:sz w:val="22"/>
          <w:szCs w:val="22"/>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pPr>
        <w:pStyle w:val="normal1"/>
        <w:keepNext w:val="true"/>
        <w:spacing w:lineRule="auto" w:line="480" w:before="0" w:after="0"/>
        <w:ind w:firstLine="720"/>
        <w:jc w:val="both"/>
        <w:rPr>
          <w:b/>
          <w:bCs/>
        </w:rPr>
      </w:pPr>
      <w:r>
        <w:rPr>
          <w:b/>
          <w:bCs/>
          <w:sz w:val="22"/>
          <w:szCs w:val="22"/>
        </w:rPr>
        <w:t>Aas2 · 182 words · 0 hedges · 0.0 per 100 words</w:t>
      </w:r>
    </w:p>
    <w:p>
      <w:pPr>
        <w:pStyle w:val="normal1"/>
        <w:spacing w:lineRule="auto" w:line="480" w:before="0" w:after="0"/>
        <w:ind w:firstLine="720"/>
        <w:jc w:val="both"/>
        <w:rPr/>
      </w:pPr>
      <w:r>
        <w:rPr>
          <w:strike w:val="false"/>
          <w:dstrike w:val="false"/>
          <w:color w:val="000000"/>
          <w:sz w:val="22"/>
          <w:szCs w:val="22"/>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strike w:val="false"/>
          <w:dstrike w:val="false"/>
          <w:color w:val="000000"/>
          <w:sz w:val="22"/>
          <w:szCs w:val="22"/>
          <w:shd w:fill="BFBFBF" w:val="clear"/>
        </w:rPr>
        <w:t>had</w:t>
      </w:r>
      <w:r>
        <w:rPr>
          <w:strike w:val="false"/>
          <w:dstrike w:val="false"/>
          <w:color w:val="000000"/>
          <w:sz w:val="22"/>
          <w:szCs w:val="22"/>
        </w:rPr>
        <w:t xml:space="preserve"> [C] the biggest impact, resulting in the heaviest weight. Additionally, the total return result </w:t>
      </w:r>
      <w:r>
        <w:rPr>
          <w:strike w:val="false"/>
          <w:dstrike w:val="false"/>
          <w:color w:val="000000"/>
          <w:sz w:val="22"/>
          <w:szCs w:val="22"/>
          <w:shd w:fill="BFBFBF" w:val="clear"/>
        </w:rPr>
        <w:t>showed</w:t>
      </w:r>
      <w:r>
        <w:rPr>
          <w:strike w:val="false"/>
          <w:dstrike w:val="false"/>
          <w:color w:val="000000"/>
          <w:sz w:val="22"/>
          <w:szCs w:val="22"/>
        </w:rPr>
        <w:t xml:space="preserve"> [G] a promising future for fermented okara extract at a level of 60 ml (166.00 PHP).</w:t>
      </w:r>
    </w:p>
    <w:p>
      <w:pPr>
        <w:pStyle w:val="normal1"/>
        <w:keepNext w:val="true"/>
        <w:spacing w:lineRule="auto" w:line="480" w:before="0" w:after="0"/>
        <w:ind w:firstLine="720"/>
        <w:jc w:val="both"/>
        <w:rPr>
          <w:b/>
          <w:bCs/>
        </w:rPr>
      </w:pPr>
      <w:r>
        <w:rPr>
          <w:b/>
          <w:bCs/>
          <w:sz w:val="22"/>
          <w:szCs w:val="22"/>
        </w:rPr>
        <w:t>Aas3 · 296 words · 2 hedges · 0.68 per 100 words</w:t>
      </w:r>
    </w:p>
    <w:p>
      <w:pPr>
        <w:pStyle w:val="normal1"/>
        <w:spacing w:lineRule="auto" w:line="480" w:before="0" w:after="0"/>
        <w:ind w:firstLine="720"/>
        <w:jc w:val="both"/>
        <w:rPr/>
      </w:pPr>
      <w:r>
        <w:rPr>
          <w:strike w:val="false"/>
          <w:dstrike w:val="false"/>
          <w:color w:val="000000"/>
          <w:sz w:val="22"/>
          <w:szCs w:val="22"/>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strike w:val="false"/>
          <w:dstrike w:val="false"/>
          <w:color w:val="FFFFFF"/>
          <w:sz w:val="22"/>
          <w:szCs w:val="22"/>
          <w:highlight w:val="red"/>
        </w:rPr>
        <w:t>implies</w:t>
      </w:r>
      <w:r>
        <w:rPr>
          <w:strike w:val="false"/>
          <w:dstrike w:val="false"/>
          <w:color w:val="ED7D31"/>
          <w:sz w:val="22"/>
          <w:szCs w:val="22"/>
        </w:rPr>
        <w:t xml:space="preserve"> (EC)</w:t>
      </w:r>
      <w:r>
        <w:rPr>
          <w:strike w:val="false"/>
          <w:dstrike w:val="false"/>
          <w:color w:val="000000"/>
          <w:sz w:val="22"/>
          <w:szCs w:val="22"/>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proved the treatment 1(100% CF) are the most efficient compared to treatment 2 where 50% commercial feeds and 50% rice bran mixed with water spinach and treatment 3 where 50% commercial feeds and 50% rice bran mixed with golden apple snail. It </w:t>
      </w:r>
      <w:r>
        <w:rPr>
          <w:strike w:val="false"/>
          <w:dstrike w:val="false"/>
          <w:color w:val="000000"/>
          <w:sz w:val="22"/>
          <w:szCs w:val="22"/>
          <w:shd w:fill="00B0F0" w:val="clear"/>
        </w:rPr>
        <w:t>can</w:t>
      </w:r>
      <w:r>
        <w:rPr>
          <w:strike w:val="false"/>
          <w:dstrike w:val="false"/>
          <w:color w:val="ED7D31"/>
          <w:sz w:val="22"/>
          <w:szCs w:val="22"/>
        </w:rPr>
        <w:t xml:space="preserve"> (EC)</w:t>
      </w:r>
      <w:r>
        <w:rPr>
          <w:strike w:val="false"/>
          <w:dstrike w:val="false"/>
          <w:color w:val="000000"/>
          <w:sz w:val="22"/>
          <w:szCs w:val="22"/>
        </w:rPr>
        <w:t xml:space="preserve"> also be concluded that D1 rice bran mixed with water spinach and with golden apple snail used in the study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help minimize the cost of production, specifically the feed cost.</w:t>
      </w:r>
    </w:p>
    <w:p>
      <w:pPr>
        <w:pStyle w:val="normal1"/>
        <w:keepNext w:val="true"/>
        <w:spacing w:lineRule="auto" w:line="480" w:before="0" w:after="0"/>
        <w:ind w:firstLine="720"/>
        <w:jc w:val="both"/>
        <w:rPr>
          <w:b/>
          <w:bCs/>
        </w:rPr>
      </w:pPr>
      <w:r>
        <w:rPr>
          <w:b/>
          <w:bCs/>
          <w:sz w:val="22"/>
          <w:szCs w:val="22"/>
        </w:rPr>
        <w:t>Aas4 · 161 words · 1 hedges · 0.62 per 100 words</w:t>
      </w:r>
    </w:p>
    <w:p>
      <w:pPr>
        <w:pStyle w:val="normal1"/>
        <w:spacing w:lineRule="auto" w:line="480" w:before="0" w:after="0"/>
        <w:ind w:firstLine="720"/>
        <w:jc w:val="both"/>
        <w:rPr/>
      </w:pPr>
      <w:r>
        <w:rPr>
          <w:strike w:val="false"/>
          <w:dstrike w:val="false"/>
          <w:color w:val="000000"/>
          <w:sz w:val="22"/>
          <w:szCs w:val="22"/>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strike w:val="false"/>
          <w:dstrike w:val="false"/>
          <w:color w:val="FFFFFF"/>
          <w:sz w:val="22"/>
          <w:szCs w:val="22"/>
          <w:highlight w:val="red"/>
        </w:rPr>
        <w:t>suggests</w:t>
      </w:r>
      <w:r>
        <w:rPr>
          <w:strike w:val="false"/>
          <w:dstrike w:val="false"/>
          <w:color w:val="ED7D31"/>
          <w:sz w:val="22"/>
          <w:szCs w:val="22"/>
        </w:rPr>
        <w:t xml:space="preserve"> (EC)</w:t>
      </w:r>
      <w:r>
        <w:rPr>
          <w:strike w:val="false"/>
          <w:dstrike w:val="false"/>
          <w:color w:val="000000"/>
          <w:sz w:val="22"/>
          <w:szCs w:val="22"/>
        </w:rPr>
        <w:t xml:space="preserve"> that there is no significant difference among the treatments with regard to their initial weight, gain in weight, average daily gain, and feed conversion ratio of the experimental rabbits.</w:t>
      </w:r>
    </w:p>
    <w:p>
      <w:pPr>
        <w:pStyle w:val="normal1"/>
        <w:keepNext w:val="true"/>
        <w:spacing w:lineRule="auto" w:line="480" w:before="0" w:after="0"/>
        <w:ind w:firstLine="720"/>
        <w:jc w:val="both"/>
        <w:rPr>
          <w:b/>
          <w:bCs/>
        </w:rPr>
      </w:pPr>
      <w:r>
        <w:rPr>
          <w:b/>
          <w:bCs/>
          <w:sz w:val="22"/>
          <w:szCs w:val="22"/>
        </w:rPr>
        <w:t>Aas5 · 316 words · 2 hedges · 0.63 per 100 words</w:t>
      </w:r>
    </w:p>
    <w:p>
      <w:pPr>
        <w:pStyle w:val="normal1"/>
        <w:spacing w:lineRule="auto" w:line="480" w:before="0" w:after="0"/>
        <w:ind w:firstLine="720"/>
        <w:jc w:val="both"/>
        <w:rPr/>
      </w:pPr>
      <w:r>
        <w:rPr>
          <w:strike w:val="false"/>
          <w:dstrike w:val="false"/>
          <w:color w:val="000000"/>
          <w:sz w:val="22"/>
          <w:szCs w:val="22"/>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strike/>
          <w:color w:val="000000"/>
          <w:sz w:val="22"/>
          <w:szCs w:val="22"/>
        </w:rPr>
        <w:t>will</w:t>
      </w:r>
      <w:r>
        <w:rPr>
          <w:strike w:val="false"/>
          <w:dstrike w:val="false"/>
          <w:color w:val="808080"/>
          <w:sz w:val="22"/>
          <w:szCs w:val="22"/>
        </w:rPr>
        <w:t xml:space="preserve"> (FP-Gen)</w:t>
      </w:r>
      <w:r>
        <w:rPr>
          <w:strike w:val="false"/>
          <w:dstrike w:val="false"/>
          <w:color w:val="000000"/>
          <w:sz w:val="22"/>
          <w:szCs w:val="22"/>
        </w:rPr>
        <w:t xml:space="preserve"> drive animal production systems to find new sources of high-quality and sustainable protein feed raw materials. Fortunately, insect farming </w:t>
      </w:r>
      <w:r>
        <w:rPr>
          <w:strike w:val="false"/>
          <w:dstrike w:val="false"/>
          <w:color w:val="000000"/>
          <w:sz w:val="22"/>
          <w:szCs w:val="22"/>
          <w:shd w:fill="00B0F0" w:val="clear"/>
        </w:rPr>
        <w:t>can</w:t>
      </w:r>
      <w:r>
        <w:rPr>
          <w:strike w:val="false"/>
          <w:dstrike w:val="false"/>
          <w:color w:val="ED7D31"/>
          <w:sz w:val="22"/>
          <w:szCs w:val="22"/>
        </w:rPr>
        <w:t xml:space="preserve"> (EC)</w:t>
      </w:r>
      <w:r>
        <w:rPr>
          <w:strike w:val="false"/>
          <w:dstrike w:val="false"/>
          <w:color w:val="000000"/>
          <w:sz w:val="22"/>
          <w:szCs w:val="22"/>
        </w:rPr>
        <w:t xml:space="preserve"> be seen as a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pPr>
        <w:pStyle w:val="normal1"/>
        <w:keepNext w:val="true"/>
        <w:spacing w:lineRule="auto" w:line="480" w:before="0" w:after="0"/>
        <w:ind w:firstLine="720"/>
        <w:jc w:val="both"/>
        <w:rPr>
          <w:b/>
          <w:bCs/>
        </w:rPr>
      </w:pPr>
      <w:r>
        <w:rPr>
          <w:b/>
          <w:bCs/>
          <w:sz w:val="22"/>
          <w:szCs w:val="22"/>
        </w:rPr>
        <w:t>Aas6 · 209 words · 0 hedges · 0.0 per 100 words</w:t>
      </w:r>
    </w:p>
    <w:p>
      <w:pPr>
        <w:pStyle w:val="normal1"/>
        <w:spacing w:lineRule="auto" w:line="480" w:before="0" w:after="0"/>
        <w:ind w:firstLine="720"/>
        <w:jc w:val="both"/>
        <w:rPr/>
      </w:pPr>
      <w:r>
        <w:rPr>
          <w:strike w:val="false"/>
          <w:dstrike w:val="false"/>
          <w:color w:val="000000"/>
          <w:sz w:val="22"/>
          <w:szCs w:val="22"/>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strike w:val="false"/>
          <w:dstrike w:val="false"/>
          <w:color w:val="000000"/>
          <w:sz w:val="22"/>
          <w:szCs w:val="22"/>
          <w:shd w:fill="BFBFBF" w:val="clear"/>
        </w:rPr>
        <w:t>was</w:t>
      </w:r>
      <w:r>
        <w:rPr>
          <w:strike w:val="false"/>
          <w:dstrike w:val="false"/>
          <w:color w:val="000000"/>
          <w:sz w:val="22"/>
          <w:szCs w:val="22"/>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pPr>
        <w:pStyle w:val="normal1"/>
        <w:keepNext w:val="true"/>
        <w:spacing w:lineRule="auto" w:line="480" w:before="0" w:after="0"/>
        <w:ind w:firstLine="720"/>
        <w:jc w:val="both"/>
        <w:rPr>
          <w:b/>
          <w:bCs/>
        </w:rPr>
      </w:pPr>
      <w:r>
        <w:rPr>
          <w:b/>
          <w:bCs/>
          <w:sz w:val="22"/>
          <w:szCs w:val="22"/>
        </w:rPr>
        <w:t>Aas7 · 202 words · 3 hedges · 1.49 per 100 words</w:t>
      </w:r>
    </w:p>
    <w:p>
      <w:pPr>
        <w:pStyle w:val="normal1"/>
        <w:spacing w:lineRule="auto" w:line="480" w:before="0" w:after="0"/>
        <w:ind w:firstLine="720"/>
        <w:jc w:val="both"/>
        <w:rPr/>
      </w:pPr>
      <w:r>
        <w:rPr>
          <w:strike w:val="false"/>
          <w:dstrike w:val="false"/>
          <w:color w:val="000000"/>
          <w:sz w:val="22"/>
          <w:szCs w:val="22"/>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all treatments are comparable in terms of growth, </w:t>
      </w:r>
      <w:r>
        <w:rPr>
          <w:strike w:val="false"/>
          <w:dstrike w:val="false"/>
          <w:color w:val="FFFFFF"/>
          <w:sz w:val="22"/>
          <w:szCs w:val="22"/>
          <w:highlight w:val="red"/>
        </w:rPr>
        <w:t>implying</w:t>
      </w:r>
      <w:r>
        <w:rPr>
          <w:strike w:val="false"/>
          <w:dstrike w:val="false"/>
          <w:color w:val="ED7D31"/>
          <w:sz w:val="22"/>
          <w:szCs w:val="22"/>
        </w:rPr>
        <w:t xml:space="preserve"> (EC)</w:t>
      </w:r>
      <w:r>
        <w:rPr>
          <w:strike w:val="false"/>
          <w:dstrike w:val="false"/>
          <w:color w:val="000000"/>
          <w:sz w:val="22"/>
          <w:szCs w:val="22"/>
        </w:rPr>
        <w:t xml:space="preserve"> that Fermented Madre de Agua is a viable feed component under these conditions. Feeding 20% fermented Madre De Agua </w:t>
      </w:r>
      <w:r>
        <w:rPr>
          <w:strike w:val="false"/>
          <w:dstrike w:val="false"/>
          <w:color w:val="000000"/>
          <w:sz w:val="22"/>
          <w:szCs w:val="22"/>
          <w:shd w:fill="00B0F0" w:val="clear"/>
        </w:rPr>
        <w:t>may</w:t>
      </w:r>
      <w:r>
        <w:rPr>
          <w:strike w:val="false"/>
          <w:dstrike w:val="false"/>
          <w:color w:val="ED7D31"/>
          <w:sz w:val="22"/>
          <w:szCs w:val="22"/>
        </w:rPr>
        <w:t xml:space="preserve"> (EC)</w:t>
      </w:r>
      <w:r>
        <w:rPr>
          <w:strike w:val="false"/>
          <w:dstrike w:val="false"/>
          <w:color w:val="000000"/>
          <w:sz w:val="22"/>
          <w:szCs w:val="22"/>
        </w:rPr>
        <w:t xml:space="preserve"> improve final weight, while feeding 10% fermented Madre De Agua </w:t>
      </w:r>
      <w:r>
        <w:rPr>
          <w:strike w:val="false"/>
          <w:dstrike w:val="false"/>
          <w:color w:val="000000"/>
          <w:sz w:val="22"/>
          <w:szCs w:val="22"/>
          <w:shd w:fill="00B0F0" w:val="clear"/>
        </w:rPr>
        <w:t>may</w:t>
      </w:r>
      <w:r>
        <w:rPr>
          <w:strike w:val="false"/>
          <w:dstrike w:val="false"/>
          <w:color w:val="ED7D31"/>
          <w:sz w:val="22"/>
          <w:szCs w:val="22"/>
        </w:rPr>
        <w:t xml:space="preserve"> (EC)</w:t>
      </w:r>
      <w:r>
        <w:rPr>
          <w:strike w:val="false"/>
          <w:dstrike w:val="false"/>
          <w:color w:val="000000"/>
          <w:sz w:val="22"/>
          <w:szCs w:val="22"/>
        </w:rPr>
        <w:t xml:space="preserve"> reduce dry matter intake.</w:t>
      </w:r>
    </w:p>
    <w:p>
      <w:pPr>
        <w:pStyle w:val="normal1"/>
        <w:keepNext w:val="true"/>
        <w:spacing w:lineRule="auto" w:line="480" w:before="0" w:after="0"/>
        <w:ind w:firstLine="720"/>
        <w:jc w:val="both"/>
        <w:rPr>
          <w:b/>
          <w:bCs/>
        </w:rPr>
      </w:pPr>
      <w:r>
        <w:rPr>
          <w:b/>
          <w:bCs/>
          <w:sz w:val="22"/>
          <w:szCs w:val="22"/>
        </w:rPr>
        <w:t>Aas8 · 186 words · 0 hedges · 0.0 per 100 words</w:t>
      </w:r>
    </w:p>
    <w:p>
      <w:pPr>
        <w:pStyle w:val="normal1"/>
        <w:spacing w:lineRule="auto" w:line="480" w:before="0" w:after="0"/>
        <w:ind w:firstLine="720"/>
        <w:jc w:val="both"/>
        <w:rPr/>
      </w:pPr>
      <w:r>
        <w:rPr>
          <w:strike w:val="false"/>
          <w:dstrike w:val="false"/>
          <w:color w:val="000000"/>
          <w:sz w:val="22"/>
          <w:szCs w:val="22"/>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strike/>
          <w:color w:val="000000"/>
          <w:sz w:val="22"/>
          <w:szCs w:val="22"/>
        </w:rPr>
        <w:t>indicating</w:t>
      </w:r>
      <w:r>
        <w:rPr>
          <w:strike w:val="false"/>
          <w:dstrike w:val="false"/>
          <w:color w:val="808080"/>
          <w:sz w:val="22"/>
          <w:szCs w:val="22"/>
        </w:rPr>
        <w:t xml:space="preserve"> (FP-Gen)</w:t>
      </w:r>
      <w:r>
        <w:rPr>
          <w:strike w:val="false"/>
          <w:dstrike w:val="false"/>
          <w:color w:val="000000"/>
          <w:sz w:val="22"/>
          <w:szCs w:val="22"/>
        </w:rPr>
        <w:t xml:space="preserve"> superior feed efficiency and improved survivability to T2. Based on the results of the study, it is </w:t>
      </w:r>
      <w:r>
        <w:rPr>
          <w:strike/>
          <w:color w:val="000000"/>
          <w:sz w:val="22"/>
          <w:szCs w:val="22"/>
        </w:rPr>
        <w:t>recommended</w:t>
      </w:r>
      <w:r>
        <w:rPr>
          <w:strike w:val="false"/>
          <w:dstrike w:val="false"/>
          <w:color w:val="808080"/>
          <w:sz w:val="22"/>
          <w:szCs w:val="22"/>
        </w:rPr>
        <w:t xml:space="preserve"> (FP-Rec)</w:t>
      </w:r>
      <w:r>
        <w:rPr>
          <w:strike w:val="false"/>
          <w:dstrike w:val="false"/>
          <w:color w:val="000000"/>
          <w:sz w:val="22"/>
          <w:szCs w:val="22"/>
        </w:rPr>
        <w:t xml:space="preserve"> to feed mallard ducks with 75% rice porridge and 25% fish entrails during brooding stage at day 1 to day 21 for enhancing weight gain and achieving higher final weights in mallard ducks. Further research </w:t>
      </w:r>
      <w:r>
        <w:rPr>
          <w:strike/>
          <w:color w:val="000000"/>
          <w:sz w:val="22"/>
          <w:szCs w:val="22"/>
        </w:rPr>
        <w:t>can</w:t>
      </w:r>
      <w:r>
        <w:rPr>
          <w:strike w:val="false"/>
          <w:dstrike w:val="false"/>
          <w:color w:val="808080"/>
          <w:sz w:val="22"/>
          <w:szCs w:val="22"/>
        </w:rPr>
        <w:t xml:space="preserve"> (FP-Gen)</w:t>
      </w:r>
      <w:r>
        <w:rPr>
          <w:strike w:val="false"/>
          <w:dstrike w:val="false"/>
          <w:color w:val="000000"/>
          <w:sz w:val="22"/>
          <w:szCs w:val="22"/>
        </w:rPr>
        <w:t xml:space="preserve"> explore the long-term effects and cost-effectiveness of these treatments and their impact on meat quality and reproductive performance.</w:t>
      </w:r>
    </w:p>
    <w:p>
      <w:pPr>
        <w:pStyle w:val="normal1"/>
        <w:keepNext w:val="true"/>
        <w:spacing w:lineRule="auto" w:line="480" w:before="0" w:after="0"/>
        <w:ind w:firstLine="720"/>
        <w:jc w:val="both"/>
        <w:rPr>
          <w:b/>
          <w:bCs/>
        </w:rPr>
      </w:pPr>
      <w:r>
        <w:rPr>
          <w:b/>
          <w:bCs/>
          <w:sz w:val="22"/>
          <w:szCs w:val="22"/>
        </w:rPr>
        <w:t>Aas9 · 188 words · 0 hedges · 0.0 per 100 words</w:t>
      </w:r>
    </w:p>
    <w:p>
      <w:pPr>
        <w:pStyle w:val="normal1"/>
        <w:spacing w:lineRule="auto" w:line="480" w:before="0" w:after="0"/>
        <w:ind w:firstLine="720"/>
        <w:jc w:val="both"/>
        <w:rPr/>
      </w:pPr>
      <w:r>
        <w:rPr>
          <w:strike w:val="false"/>
          <w:dstrike w:val="false"/>
          <w:color w:val="000000"/>
          <w:sz w:val="22"/>
          <w:szCs w:val="22"/>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 it is </w:t>
      </w:r>
      <w:r>
        <w:rPr>
          <w:strike/>
          <w:color w:val="000000"/>
          <w:sz w:val="22"/>
          <w:szCs w:val="22"/>
        </w:rPr>
        <w:t>recommended</w:t>
      </w:r>
      <w:r>
        <w:rPr>
          <w:strike w:val="false"/>
          <w:dstrike w:val="false"/>
          <w:color w:val="808080"/>
          <w:sz w:val="22"/>
          <w:szCs w:val="22"/>
        </w:rPr>
        <w:t xml:space="preserve"> (FP-Rec)</w:t>
      </w:r>
      <w:r>
        <w:rPr>
          <w:strike w:val="false"/>
          <w:dstrike w:val="false"/>
          <w:color w:val="000000"/>
          <w:sz w:val="22"/>
          <w:szCs w:val="22"/>
        </w:rPr>
        <w:t xml:space="preserve"> for future researchers to add Diatomaceous earth and neem tree extract and check the humidity. Extend data collection for 72 hours and 96 hours for future study.</w:t>
      </w:r>
    </w:p>
    <w:p>
      <w:pPr>
        <w:pStyle w:val="normal1"/>
        <w:keepNext w:val="true"/>
        <w:spacing w:lineRule="auto" w:line="480" w:before="0" w:after="0"/>
        <w:ind w:firstLine="720"/>
        <w:jc w:val="both"/>
        <w:rPr>
          <w:b/>
          <w:bCs/>
        </w:rPr>
      </w:pPr>
      <w:r>
        <w:rPr>
          <w:b/>
          <w:bCs/>
          <w:sz w:val="22"/>
          <w:szCs w:val="22"/>
        </w:rPr>
        <w:t>Aas10 · 283 words · 2 hedges · 0.71 per 100 words</w:t>
      </w:r>
    </w:p>
    <w:p>
      <w:pPr>
        <w:pStyle w:val="normal1"/>
        <w:spacing w:lineRule="auto" w:line="480" w:before="0" w:after="0"/>
        <w:ind w:firstLine="720"/>
        <w:jc w:val="both"/>
        <w:rPr/>
      </w:pPr>
      <w:r>
        <w:rPr>
          <w:strike w:val="false"/>
          <w:dstrike w:val="false"/>
          <w:color w:val="000000"/>
          <w:sz w:val="22"/>
          <w:szCs w:val="22"/>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based on the results, it </w:t>
      </w:r>
      <w:r>
        <w:rPr>
          <w:strike w:val="false"/>
          <w:dstrike w:val="false"/>
          <w:color w:val="000000"/>
          <w:sz w:val="22"/>
          <w:szCs w:val="22"/>
          <w:shd w:fill="00B0F0" w:val="clear"/>
        </w:rPr>
        <w:t>can</w:t>
      </w:r>
      <w:r>
        <w:rPr>
          <w:strike w:val="false"/>
          <w:dstrike w:val="false"/>
          <w:color w:val="ED7D31"/>
          <w:sz w:val="22"/>
          <w:szCs w:val="22"/>
        </w:rPr>
        <w:t xml:space="preserve"> (EC)</w:t>
      </w:r>
      <w:r>
        <w:rPr>
          <w:strike w:val="false"/>
          <w:dstrike w:val="false"/>
          <w:color w:val="000000"/>
          <w:sz w:val="22"/>
          <w:szCs w:val="22"/>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strike/>
          <w:color w:val="000000"/>
          <w:sz w:val="22"/>
          <w:szCs w:val="22"/>
        </w:rPr>
        <w:t>recommended</w:t>
      </w:r>
      <w:r>
        <w:rPr>
          <w:strike w:val="false"/>
          <w:dstrike w:val="false"/>
          <w:color w:val="808080"/>
          <w:sz w:val="22"/>
          <w:szCs w:val="22"/>
        </w:rPr>
        <w:t xml:space="preserve"> (FP-Rec)</w:t>
      </w:r>
      <w:r>
        <w:rPr>
          <w:strike w:val="false"/>
          <w:dstrike w:val="false"/>
          <w:color w:val="000000"/>
          <w:sz w:val="22"/>
          <w:szCs w:val="22"/>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strike w:val="false"/>
          <w:dstrike w:val="false"/>
          <w:color w:val="FFFFFF"/>
          <w:sz w:val="22"/>
          <w:szCs w:val="22"/>
          <w:highlight w:val="red"/>
        </w:rPr>
        <w:t>potential</w:t>
      </w:r>
      <w:r>
        <w:rPr>
          <w:strike w:val="false"/>
          <w:dstrike w:val="false"/>
          <w:color w:val="ED7D31"/>
          <w:sz w:val="22"/>
          <w:szCs w:val="22"/>
        </w:rPr>
        <w:t xml:space="preserve"> (EC)</w:t>
      </w:r>
      <w:r>
        <w:rPr>
          <w:strike w:val="false"/>
          <w:dstrike w:val="false"/>
          <w:color w:val="000000"/>
          <w:sz w:val="22"/>
          <w:szCs w:val="22"/>
        </w:rPr>
        <w:t xml:space="preserve"> as an alternative feed ration for rabbits without adverse effects, and considering that azolla </w:t>
      </w:r>
      <w:r>
        <w:rPr>
          <w:strike/>
          <w:color w:val="000000"/>
          <w:sz w:val="22"/>
          <w:szCs w:val="22"/>
        </w:rPr>
        <w:t>can</w:t>
      </w:r>
      <w:r>
        <w:rPr>
          <w:strike w:val="false"/>
          <w:dstrike w:val="false"/>
          <w:color w:val="808080"/>
          <w:sz w:val="22"/>
          <w:szCs w:val="22"/>
        </w:rPr>
        <w:t xml:space="preserve"> (FP-Cap)</w:t>
      </w:r>
      <w:r>
        <w:rPr>
          <w:strike w:val="false"/>
          <w:dstrike w:val="false"/>
          <w:color w:val="000000"/>
          <w:sz w:val="22"/>
          <w:szCs w:val="22"/>
        </w:rPr>
        <w:t xml:space="preserve"> help breeders to lessen the feed cost in production.</w:t>
      </w:r>
    </w:p>
    <w:sectPr>
      <w:headerReference w:type="default" r:id="rId56"/>
      <w:headerReference w:type="first" r:id="rId57"/>
      <w:footerReference w:type="default" r:id="rId58"/>
      <w:footerReference w:type="first" r:id="rId59"/>
      <w:type w:val="nextPage"/>
      <w:pgSz w:w="11906" w:h="16838"/>
      <w:pgMar w:left="2160" w:right="1440" w:gutter="0" w:header="720" w:top="1440" w:footer="720" w:bottom="1440"/>
      <w:pgNumType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Georgia">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rd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Caudex">
    <w:charset w:val="01"/>
    <w:family w:val="roman"/>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Gungsu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480" w:before="0" w:after="200"/>
      <w:jc w:val="lef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righ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19</w:t>
    </w:r>
    <w:r>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righ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28</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righ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43</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righ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46</w:t>
    </w:r>
    <w:r>
      <w:rPr/>
      <w:fldChar w:fldCharType="end"/>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righ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51</w:t>
    </w:r>
    <w:r>
      <w:rPr/>
      <w:fldChar w:fldCharType="end"/>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righ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65</w:t>
    </w:r>
    <w:r>
      <w:rPr/>
      <w:fldChar w:fldCharType="end"/>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righ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119</w:t>
    </w:r>
    <w:r>
      <w:rPr/>
      <w:fldChar w:fldCharType="end"/>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680" w:leader="none"/>
        <w:tab w:val="right" w:pos="9360" w:leader="none"/>
      </w:tabs>
      <w:spacing w:lineRule="auto" w:line="240" w:before="0" w:after="0"/>
      <w:ind w:hanging="0" w:left="0" w:right="0"/>
      <w:jc w:val="left"/>
      <w:rPr>
        <w:rFonts w:ascii="Georgia" w:hAnsi="Georgia" w:eastAsia="Georgia" w:cs="Georg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b w:val="false"/>
        <w:bCs w:val="false"/>
        <w:i w:val="false"/>
        <w:iCs w:val="false"/>
        <w:caps w:val="false"/>
        <w:smallCaps w:val="false"/>
        <w:strike w:val="false"/>
        <w:dstrike w:val="false"/>
        <w:color w:val="000000"/>
        <w:position w:val="0"/>
        <w:sz w:val="22"/>
        <w:sz w:val="22"/>
        <w:szCs w:val="22"/>
        <w:u w:val="none"/>
        <w:shd w:fill="auto" w:val="clear"/>
        <w:vertAlign w:val="baseline"/>
      </w:rPr>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480" w:before="0" w:after="200"/>
      <w:jc w:val="left"/>
    </w:pPr>
    <w:rPr>
      <w:rFonts w:ascii="Georgia" w:hAnsi="Georgia" w:eastAsia="Georgia" w:cs="Georg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Georgia" w:hAnsi="Georgia" w:eastAsia="Georgia" w:cs="Georgia"/>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Georgia" w:hAnsi="Georgia" w:eastAsia="Georgia" w:cs="Georgia"/>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Georgia" w:hAnsi="Georgia" w:eastAsia="Georgia" w:cs="Georgia"/>
      <w:b/>
      <w:bCs/>
      <w:color w:val="4F81BD"/>
    </w:rPr>
  </w:style>
  <w:style w:type="paragraph" w:styleId="Heading4">
    <w:name w:val="Heading 4"/>
    <w:basedOn w:val="normal1"/>
    <w:next w:val="normal1"/>
    <w:qFormat/>
    <w:pPr>
      <w:keepNext w:val="true"/>
      <w:keepLines/>
      <w:spacing w:lineRule="auto" w:line="240" w:before="200" w:after="0"/>
    </w:pPr>
    <w:rPr>
      <w:rFonts w:ascii="Georgia" w:hAnsi="Georgia" w:eastAsia="Georgia" w:cs="Georgia"/>
      <w:b/>
      <w:bCs/>
      <w:i/>
      <w:iCs/>
      <w:color w:val="4F81BD"/>
    </w:rPr>
  </w:style>
  <w:style w:type="paragraph" w:styleId="Heading5">
    <w:name w:val="Heading 5"/>
    <w:basedOn w:val="normal1"/>
    <w:next w:val="normal1"/>
    <w:qFormat/>
    <w:pPr>
      <w:keepNext w:val="true"/>
      <w:keepLines/>
      <w:spacing w:lineRule="auto" w:line="240" w:before="200" w:after="0"/>
    </w:pPr>
    <w:rPr>
      <w:rFonts w:ascii="Georgia" w:hAnsi="Georgia" w:eastAsia="Georgia" w:cs="Georgia"/>
      <w:color w:val="243F61"/>
    </w:rPr>
  </w:style>
  <w:style w:type="paragraph" w:styleId="Heading6">
    <w:name w:val="Heading 6"/>
    <w:basedOn w:val="normal1"/>
    <w:next w:val="normal1"/>
    <w:qFormat/>
    <w:pPr>
      <w:keepNext w:val="true"/>
      <w:keepLines/>
      <w:spacing w:lineRule="auto" w:line="240" w:before="200" w:after="0"/>
    </w:pPr>
    <w:rPr>
      <w:rFonts w:ascii="Georgia" w:hAnsi="Georgia" w:eastAsia="Georgia" w:cs="Georgia"/>
      <w:i/>
      <w:iCs/>
      <w:color w:val="243F61"/>
    </w:rPr>
  </w:style>
  <w:style w:type="character" w:styleId="annotationreference">
    <w:name w:val="annotation reference"/>
    <w:uiPriority w:val="99"/>
    <w:semiHidden/>
    <w:unhideWhenUsed/>
    <w:qFormat/>
    <w:rPr>
      <w:sz w:val="16"/>
      <w:szCs w:val="16"/>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default="1">
    <w:name w:val="normal1"/>
    <w:qFormat/>
    <w:pPr>
      <w:widowControl/>
      <w:bidi w:val="0"/>
      <w:spacing w:lineRule="auto" w:line="480" w:before="0" w:after="200"/>
      <w:jc w:val="left"/>
    </w:pPr>
    <w:rPr>
      <w:rFonts w:ascii="Georgia" w:hAnsi="Georgia" w:eastAsia="Georgia" w:cs="Georg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Georgia" w:hAnsi="Georgia" w:eastAsia="Georgia" w:cs="Georgia"/>
      <w:color w:val="17365D"/>
      <w:sz w:val="52"/>
      <w:szCs w:val="52"/>
    </w:rPr>
  </w:style>
  <w:style w:type="paragraph" w:styleId="Subtitle">
    <w:name w:val="Subtitle"/>
    <w:basedOn w:val="normal1"/>
    <w:next w:val="normal1"/>
    <w:qFormat/>
    <w:pPr/>
    <w:rPr>
      <w:rFonts w:ascii="Georgia" w:hAnsi="Georgia" w:eastAsia="Georgia" w:cs="Georgia"/>
      <w:i/>
      <w:iCs/>
      <w:color w:val="4F81BD"/>
      <w:sz w:val="24"/>
      <w:szCs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6.xml"/><Relationship Id="rId14" Type="http://schemas.openxmlformats.org/officeDocument/2006/relationships/header" Target="header7.xml"/><Relationship Id="rId15" Type="http://schemas.openxmlformats.org/officeDocument/2006/relationships/footer" Target="footer6.xml"/><Relationship Id="rId16" Type="http://schemas.openxmlformats.org/officeDocument/2006/relationships/footer" Target="footer7.xml"/><Relationship Id="rId17" Type="http://schemas.openxmlformats.org/officeDocument/2006/relationships/header" Target="header8.xml"/><Relationship Id="rId18" Type="http://schemas.openxmlformats.org/officeDocument/2006/relationships/header" Target="header9.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hyperlink" Target="https://doi.org/10.1016/j.sbspro.2014.05.290" TargetMode="External"/><Relationship Id="rId26" Type="http://schemas.openxmlformats.org/officeDocument/2006/relationships/hyperlink" Target="https://doi.org/10.1016/S0889-4906(97)00007-0" TargetMode="External"/><Relationship Id="rId27" Type="http://schemas.openxmlformats.org/officeDocument/2006/relationships/hyperlink" Target="https://files.eric.ed.gov/fulltext/EJ1201945.pdf" TargetMode="External"/><Relationship Id="rId28" Type="http://schemas.openxmlformats.org/officeDocument/2006/relationships/hyperlink" Target="https://doi.org/10.22161/ijels.101.2" TargetMode="External"/><Relationship Id="rId29" Type="http://schemas.openxmlformats.org/officeDocument/2006/relationships/hyperlink" Target="https://doi.org/10.18485/bells.2022.14.2" TargetMode="External"/><Relationship Id="rId30" Type="http://schemas.openxmlformats.org/officeDocument/2006/relationships/hyperlink" Target="https://pmc.ncbi.nlm.nih.gov/articles/PMC12584097/" TargetMode="External"/><Relationship Id="rId31" Type="http://schemas.openxmlformats.org/officeDocument/2006/relationships/hyperlink" Target="https://doi.org/10.1016/j.pragma.2011.04.007" TargetMode="External"/><Relationship Id="rId32" Type="http://schemas.openxmlformats.org/officeDocument/2006/relationships/hyperlink" Target="https://doi.org/10.1093/applin/17.4.433" TargetMode="External"/><Relationship Id="rId33" Type="http://schemas.openxmlformats.org/officeDocument/2006/relationships/hyperlink" Target="https://doi.org/10.1177/1461445605050365" TargetMode="External"/><Relationship Id="rId34" Type="http://schemas.openxmlformats.org/officeDocument/2006/relationships/hyperlink" Target="https://doi.org/10.1016/S1060-3743(97)90033-3" TargetMode="External"/><Relationship Id="rId35" Type="http://schemas.openxmlformats.org/officeDocument/2006/relationships/hyperlink" Target="https://doi.org/10.13189/lls.2024.120301" TargetMode="External"/><Relationship Id="rId36" Type="http://schemas.openxmlformats.org/officeDocument/2006/relationships/hyperlink" Target="https://doi.org/10.61508/refl.v32i2.282512" TargetMode="External"/><Relationship Id="rId37" Type="http://schemas.openxmlformats.org/officeDocument/2006/relationships/hyperlink" Target="https://doi.org/10.2307/2529310" TargetMode="External"/><Relationship Id="rId38" Type="http://schemas.openxmlformats.org/officeDocument/2006/relationships/hyperlink" Target="https://doi.org/10.47772/IJRISS.2025.91100485" TargetMode="External"/><Relationship Id="rId39" Type="http://schemas.openxmlformats.org/officeDocument/2006/relationships/hyperlink" Target="https://doi.org/10.34007/jehss.v4i3.925" TargetMode="External"/><Relationship Id="rId40" Type="http://schemas.openxmlformats.org/officeDocument/2006/relationships/hyperlink" Target="https://core.ac.uk/download/78277430.pdf" TargetMode="External"/><Relationship Id="rId41" Type="http://schemas.openxmlformats.org/officeDocument/2006/relationships/hyperlink" Target="https://doi.org/10.33369/jeet.8.1.202-218" TargetMode="External"/><Relationship Id="rId42" Type="http://schemas.openxmlformats.org/officeDocument/2006/relationships/hyperlink" Target="https://e-flt.nus.edu.sg/wp-content/uploads/2020/09/petchkij.pdf" TargetMode="External"/><Relationship Id="rId43" Type="http://schemas.openxmlformats.org/officeDocument/2006/relationships/hyperlink" Target="https://doi.org/10.1016/0889-4906(94)90013-2" TargetMode="External"/><Relationship Id="rId44" Type="http://schemas.openxmlformats.org/officeDocument/2006/relationships/hyperlink" Target="https://revue.umc.edu.dz/h/article/view/4015" TargetMode="External"/><Relationship Id="rId45" Type="http://schemas.openxmlformats.org/officeDocument/2006/relationships/hyperlink" Target="https://journal2.upgris.ac.id/index.php/eternal/article/view/1059" TargetMode="External"/><Relationship Id="rId46" Type="http://schemas.openxmlformats.org/officeDocument/2006/relationships/hyperlink" Target="https://doi.org/10.59960/2.a5" TargetMode="External"/><Relationship Id="rId47" Type="http://schemas.openxmlformats.org/officeDocument/2006/relationships/hyperlink" Target="https://osf.io/preprints/edarxiv/5xj27" TargetMode="External"/><Relationship Id="rId48" Type="http://schemas.openxmlformats.org/officeDocument/2006/relationships/header" Target="header12.xml"/><Relationship Id="rId49" Type="http://schemas.openxmlformats.org/officeDocument/2006/relationships/header" Target="header13.xml"/><Relationship Id="rId50" Type="http://schemas.openxmlformats.org/officeDocument/2006/relationships/footer" Target="footer12.xml"/><Relationship Id="rId51" Type="http://schemas.openxmlformats.org/officeDocument/2006/relationships/footer" Target="footer13.xml"/><Relationship Id="rId52" Type="http://schemas.openxmlformats.org/officeDocument/2006/relationships/header" Target="header14.xml"/><Relationship Id="rId53" Type="http://schemas.openxmlformats.org/officeDocument/2006/relationships/header" Target="header15.xml"/><Relationship Id="rId54" Type="http://schemas.openxmlformats.org/officeDocument/2006/relationships/footer" Target="footer14.xml"/><Relationship Id="rId55" Type="http://schemas.openxmlformats.org/officeDocument/2006/relationships/footer" Target="footer15.xml"/><Relationship Id="rId56" Type="http://schemas.openxmlformats.org/officeDocument/2006/relationships/header" Target="header16.xml"/><Relationship Id="rId57" Type="http://schemas.openxmlformats.org/officeDocument/2006/relationships/header" Target="header17.xml"/><Relationship Id="rId58" Type="http://schemas.openxmlformats.org/officeDocument/2006/relationships/footer" Target="footer16.xml"/><Relationship Id="rId59" Type="http://schemas.openxmlformats.org/officeDocument/2006/relationships/footer" Target="footer17.xml"/><Relationship Id="rId61" Type="http://schemas.openxmlformats.org/officeDocument/2006/relationships/fontTable" Target="fontTable.xml"/><Relationship Id="rId62" Type="http://schemas.openxmlformats.org/officeDocument/2006/relationships/settings" Target="settings.xml"/><Relationship Id="rId63" Type="http://schemas.openxmlformats.org/officeDocument/2006/relationships/theme" Target="theme/theme1.xml"/></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30</Pages>
  <Words>871</Words>
  <Characters>4478</Characters>
  <CharactersWithSpaces>5343</CharactersWithSpaces>
  <Paragraphs>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2026-10-14T05:07:02Z</dcterms:modified>
  <cp:revision>1</cp:revision>
  <dc:subject/>
  <dc:title/>
</cp:coreProperties>
</file>