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Kruskal-Wallis Test, 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r>
        <w:rPr>
          <w:rFonts w:ascii="Georgia" w:hAnsi="Georgia" w:cs="Georgia" w:eastAsia="Georgia"/>
          <w:i w:val="0"/>
          <w:iCs w:val="0"/>
          <w:sz w:val="22"/>
          <w:szCs w:val="22"/>
          <w:rtl w:val="0"/>
          <w:b w:val="0"/>
          <w:bCs w:val="0"/>
        </w:rPr>
        <w:t/>
      </w:r>
      <w:r>
        <w:rPr>
          <w:rtl w:val="0"/>
        </w:rPr>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r>
        <w:rPr>
          <w:rFonts w:ascii="Georgia" w:hAnsi="Georgia" w:cs="Georgia" w:eastAsia="Georgia"/>
          <w:sz w:val="22"/>
          <w:szCs w:val="22"/>
          <w:b w:val="0"/>
          <w:bCs w:val="0"/>
        </w:rPr>
        <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b/>
          <w:bCs/>
          <w:sz w:val="22"/>
        </w:rPr>
        <w:t xml:space="preserve">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r>
        <w:rPr>
          <w:rFonts w:ascii="Georgia" w:hAnsi="Georgia" w:cs="Georgia" w:eastAsia="Georgia"/>
          <w:i w:val="0"/>
          <w:iCs w:val="0"/>
          <w:sz w:val="22"/>
          <w:szCs w:val="22"/>
          <w:rtl w:val="0"/>
          <w:b w:val="0"/>
          <w:bCs w:val="0"/>
        </w:rPr>
        <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b/>
          <w:sz w:val="24"/>
        </w:rPr>
        <w:t>Table 1</w:t>
      </w:r>
    </w:p>
    <w:p>
      <w:pPr>
        <w:keepNext w:val="1"/>
        <w:spacing w:before="0" w:after="60" w:line="480" w:lineRule="auto"/>
        <w:jc w:val="both"/>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0"/>
          <w:bCs w:val="0"/>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0"/>
          <w:bCs w:val="0"/>
          <w:i w:val="0"/>
          <w:iCs w:val="0"/>
          <w:sz w:val="22"/>
          <w:szCs w:val="22"/>
          <w:rtl w:val="0"/>
        </w:rPr>
        <w:t>Exclusion Criteria. 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b w:val="0"/>
          <w:bCs w:val="1"/>
          <w:i w:val="0"/>
          <w:iCs w:val="0"/>
          <w:rtl w:val="0"/>
          <w:sz w:val="22"/>
          <w:szCs w:val="22"/>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b/>
          <w:sz w:val="24"/>
        </w:rPr>
        <w:t>Table 2</w:t>
      </w:r>
    </w:p>
    <w:p>
      <w:pPr>
        <w:keepNext w:val="1"/>
        <w:spacing w:before="0" w:after="60" w:line="480" w:lineRule="auto"/>
        <w:jc w:val="both"/>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b/>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b/>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b/>
          <w:sz w:val="24"/>
        </w:rPr>
        <w:t>Table 4</w:t>
      </w:r>
    </w:p>
    <w:p>
      <w:pPr>
        <w:keepNext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5’s Unhedged sites column reports the corpus-wide total of 37.) These sites represent clauses where a hedge could have been inserted without changing the underlying facts, but no hedge was used. This unhedged-site inventory is included as a descriptive record of where hedging is absent in this corpus, not as a comparative claim against an expert or cross-discipline baseline. Without a matched comparison group, the counts document absence of overt hedges in specific claim environments. They do not measure underuse relative to a norm.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sites, and normalized frequency (hedges per 100 words) for each discipline.</w:t>
      </w:r>
      <w:r>
        <w:rPr>
          <w:rtl w:val="0"/>
        </w:rPr>
      </w:r>
    </w:p>
    <w:p>
      <w:pPr>
        <w:keepNext w:val="1"/>
        <w:spacing w:before="720" w:after="0" w:line="480" w:lineRule="auto"/>
        <w:jc w:val="center"/>
      </w:pPr>
      <w:r>
        <w:rPr>
          <w:rFonts w:ascii="Georgia" w:hAnsi="Georgia"/>
          <w:b/>
          <w:sz w:val="24"/>
        </w:rPr>
        <w:t>Table 5</w:t>
      </w:r>
    </w:p>
    <w:p>
      <w:pPr>
        <w:keepNext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tblHeader/>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Unhedged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Veterinary Medicine is the field that differs.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b/>
          <w:sz w:val="24"/>
        </w:rPr>
        <w:t>Table 6</w:t>
      </w:r>
    </w:p>
    <w:p>
      <w:pPr>
        <w:keepNext w:val="1"/>
        <w:spacing w:before="0" w:after="60" w:line="480" w:lineRule="auto"/>
        <w:jc w:val="both"/>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Fonts w:ascii="Georgia" w:hAnsi="Georgia" w:cs="Georgia" w:eastAsia="Georgia"/>
          <w:rtl w:val="0"/>
          <w:sz w:val="22"/>
          <w:szCs w:val="22"/>
        </w:rPr>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The study cannot separate genuine field norms from adviser-enforced conventions. The findings describe the ratified abstracts, not individual cognition.</w:t>
      </w:r>
      <w:r>
        <w:rPr>
          <w:rFonts w:ascii="Georgia" w:hAnsi="Georgia" w:cs="Georgia" w:eastAsia="Georgia"/>
          <w:rtl w:val="0"/>
          <w:sz w:val="22"/>
          <w:szCs w:val="22"/>
        </w:rPr>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VM abstracts in this corpus hedge less. The causes remain unknown.</w:t>
      </w:r>
      <w:r>
        <w:rPr>
          <w:rtl w:val="0"/>
        </w:rPr>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sites.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rFonts w:ascii="Georgia" w:hAnsi="Georgia" w:cs="Georgia" w:eastAsia="Georgia"/>
          <w:color w:val="000000"/>
        </w:rPr>
        <w:t xml:space="preserve"> that C. longa extracts are </w:t>
      </w:r>
      <w:r>
        <w:rPr>
          <w:rFonts w:ascii="Georgia" w:hAnsi="Georgia" w:cs="Georgia" w:eastAsia="Georgia"/>
          <w:highlight w:val="red"/>
          <w:color w:val="ffffff"/>
        </w:rPr>
        <w:t>potential</w:t>
      </w:r>
      <w:r>
        <w:rPr>
          <w:rFonts w:ascii="Georgia" w:hAnsi="Georgia" w:cs="Georgia" w:eastAsia="Georgia"/>
          <w:color w:val="000000"/>
        </w:rPr>
        <w:t xml:space="preserve"> </w:t>
      </w:r>
      <w:r>
        <w:rPr>
          <w:rFonts w:ascii="Georgia" w:hAnsi="Georgia" w:cs="Georgia" w:eastAsia="Georgia"/>
          <w:color w:val="ed7d31"/>
        </w:rPr>
        <w:t>(EC)</w:t>
      </w:r>
      <w:r>
        <w:rPr>
          <w:rFonts w:ascii="Georgia" w:hAnsi="Georgia" w:cs="Georgia" w:eastAsia="Georgia"/>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60" w:after="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80" w:after="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288" w:lineRule="auto"/>
        <w:ind w:firstLine="720"/>
        <w:jc w:val="both"/>
        <w:rPr/>
      </w:pPr>
      <w:r>
        <w:rPr>
          <w:rFonts w:ascii="Georgia" w:hAnsi="Georgia" w:cs="Georgia" w:eastAsia="Georgia"/>
          <w:b w:val="0"/>
          <w:bCs w:val="0"/>
          <w:i w:val="1"/>
          <w:iCs w:val="1"/>
          <w:color w:val="000000"/>
          <w:sz w:val="22"/>
          <w:szCs w:val="22"/>
          <w:rtl w:val="0"/>
        </w:rPr>
        <w:t>Unhedged-site data, tracked separately so it never inflates RQ2 counts.</w:t>
      </w:r>
      <w:r>
        <w:rPr>
          <w:rtl w:val="0"/>
        </w:rPr>
      </w:r>
    </w:p>
    <w:p w:rsidR="00000000" w:rsidDel="00000000" w:rsidP="00000000" w:rsidRDefault="00000000" w:rsidRPr="00000000" w14:paraId="0000025E">
      <w:pPr>
        <w:keepNext w:val="1"/>
        <w:spacing w:before="60" w:after="0" w:line="288"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80" w:after="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0" w:after="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120" w:after="6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tblHeader w:val="0"/>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tblHeader w:val="0"/>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tblHeader w:val="0"/>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tblHeader w:val="0"/>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0" w:after="20" w:line="360" w:lineRule="auto"/>
        <w:ind w:firstLine="720"/>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 SITES (OPTIONAL,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Unhedged sites: claim clauses with no hedge. Reverse test: a hedge could be inserted without changing the facts. Procedural statements never markable. Example: “Results showed X” → could be “Results suggested X.”</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A finding stated as settled fact.</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000000"/>
                <w:sz w:val="20"/>
                <w:szCs w:val="20"/>
                <w:shd w:fill="bfbfbf" w:val="clear"/>
                <w:rtl w:val="0"/>
              </w:rPr>
              <w:t xml:space="preserve">Results showed</w:t>
            </w:r>
            <w:r>
              <w:rPr>
                <w:rFonts w:ascii="Georgia" w:cs="Georgia" w:eastAsia="Georgia" w:hAnsi="Georgia"/>
                <w:b w:val="0"/>
                <w:bCs w:val="0"/>
                <w:i w:val="0"/>
                <w:iCs w:val="0"/>
                <w:color w:val="000000"/>
                <w:sz w:val="20"/>
                <w:szCs w:val="20"/>
                <w:rtl w:val="0"/>
              </w:rPr>
              <w:t xml:space="preserve"> that all shrimp farms were free of the disease.”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A broader inference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20"/>
                <w:szCs w:val="20"/>
                <w:rtl w:val="0"/>
              </w:rPr>
              <w:t xml:space="preserve">“This led to the </w:t>
            </w:r>
            <w:r>
              <w:rPr>
                <w:rFonts w:ascii="Georgia" w:cs="Georgia" w:eastAsia="Georgia" w:hAnsi="Georgia"/>
                <w:b w:val="1"/>
                <w:bCs w:val="1"/>
                <w:strike w:val="0"/>
                <w:color w:val="000000"/>
                <w:sz w:val="20"/>
                <w:szCs w:val="20"/>
                <w:shd w:fill="bfbfbf" w:val="clear"/>
                <w:rtl w:val="0"/>
              </w:rPr>
              <w:t xml:space="preserve">conclusion that</w:t>
            </w:r>
            <w:r>
              <w:rPr>
                <w:rFonts w:ascii="Georgia" w:cs="Georgia" w:eastAsia="Georgia" w:hAnsi="Georgia"/>
                <w:b w:val="0"/>
                <w:bCs w:val="0"/>
                <w:i w:val="0"/>
                <w:iCs w:val="0"/>
                <w:color w:val="000000"/>
                <w:sz w:val="20"/>
                <w:szCs w:val="20"/>
                <w:rtl w:val="0"/>
              </w:rPr>
              <w:t xml:space="preserve"> all farms were free of it.”</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shd w:fill="bfbfbf" w:val="clear"/>
                <w:rtl w:val="0"/>
              </w:rPr>
              <w:t xml:space="preserve">      </w:t>
            </w:r>
            <w:r>
              <w:rPr>
                <w:rtl w:val="0"/>
                <w:sz w:val="20"/>
                <w:szCs w:val="20"/>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A cause and effect link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20"/>
                <w:szCs w:val="20"/>
                <w:rtl w:val="0"/>
              </w:rPr>
              <w:t xml:space="preserve">“Extracts </w:t>
            </w:r>
            <w:r>
              <w:rPr>
                <w:rFonts w:ascii="Georgia" w:cs="Georgia" w:eastAsia="Georgia" w:hAnsi="Georgia"/>
                <w:b w:val="1"/>
                <w:bCs w:val="1"/>
                <w:strike w:val="0"/>
                <w:color w:val="000000"/>
                <w:sz w:val="20"/>
                <w:szCs w:val="20"/>
                <w:shd w:fill="bfbfbf" w:val="clear"/>
                <w:rtl w:val="0"/>
              </w:rPr>
              <w:t xml:space="preserve">produce</w:t>
            </w:r>
            <w:r>
              <w:rPr>
                <w:rFonts w:ascii="Georgia" w:cs="Georgia" w:eastAsia="Georgia" w:hAnsi="Georgia"/>
                <w:b w:val="0"/>
                <w:bCs w:val="0"/>
                <w:i w:val="0"/>
                <w:iCs w:val="0"/>
                <w:color w:val="000000"/>
                <w:sz w:val="20"/>
                <w:szCs w:val="20"/>
                <w:rtl w:val="0"/>
              </w:rPr>
              <w:t xml:space="preserve"> comparable staining because they contain similar compounds.”</w:t>
            </w:r>
            <w:r>
              <w:rPr>
                <w:rtl w:val="0"/>
                <w:sz w:val="20"/>
                <w:szCs w:val="20"/>
                <w:rFonts w:ascii="Georgia" w:hAnsi="Georgia"/>
              </w:rPr>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sites = grey highlight + [R]/[G]/[C] bracket.</w:t>
      </w:r>
      <w:r>
        <w:rPr>
          <w:rtl w:val="0"/>
        </w:rPr>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w:t>
      </w:r>
      <w:r>
        <w:rPr>
          <w:rFonts w:ascii="Georgia" w:hAnsi="Georgia" w:cs="Georgia" w:eastAsia="Georgia"/>
          <w:sz w:val="22"/>
          <w:szCs w:val="22"/>
          <w:b w:val="0"/>
          <w:bCs w:val="0"/>
          <w:strike w:val="0"/>
          <w:shd w:val="clear" w:fill="BFBFBF"/>
          <w:color w:val="000000"/>
        </w:rPr>
        <w:t>The result of antibacterial testing revealed that the Partial Fraction of Balitbitan (Cynometra ramiflora) did not possess the property to inhibit the growth of Staphylococcus aureus and Escherichia coli.</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There was no zone of inhibition when treated with the partial fraction of Balitbitan.</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w:t>
      </w:r>
      <w:r>
        <w:rPr>
          <w:rFonts w:ascii="Georgia" w:hAnsi="Georgia" w:cs="Georgia" w:eastAsia="Georgia"/>
          <w:sz w:val="22"/>
          <w:szCs w:val="22"/>
          <w:b w:val="0"/>
          <w:bCs w:val="0"/>
          <w:strike w:val="0"/>
          <w:shd w:val="clear" w:fill="BFBFBF"/>
          <w:color w:val="000000"/>
        </w:rPr>
        <w:t>A drop test was also performed, which revealed that the eco-bricks from all treatments were significantly damaged at the height of one meter, making them a weak, unsuitable material to use in building walkways.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This study is essential for getting insights into eco-brick manufacture because the workability of SUPs and UCOs as raw materials is proven. </w:t>
      </w:r>
      <w:r>
        <w:rPr>
          <w:rFonts w:ascii="Georgia" w:hAnsi="Georgia" w:cs="Georgia" w:eastAsia="Georgia"/>
          <w:sz w:val="22"/>
          <w:szCs w:val="22"/>
          <w:b w:val="0"/>
          <w:bCs w:val="0"/>
          <w:strike w:val="0"/>
          <w:shd w:val="clear" w:fill="BFBFBF"/>
          <w:color w:val="000000"/>
        </w:rPr>
        <w:t>The research findings do not apply to buildings.</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Therefore, further research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0"/>
          <w:szCs w:val="20"/>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cs="Georgia" w:eastAsia="Georgia"/>
          <w:sz w:val="22"/>
          <w:szCs w:val="22"/>
          <w:b w:val="0"/>
          <w:bCs w:val="0"/>
          <w:strike w:val="0"/>
          <w:shd w:val="clear" w:fill="BFBFBF"/>
          <w:color w:val="000000"/>
        </w:rPr>
        <w:t>All mice treated with pure leaf extract of Z. talanai, monosodium glutamate, distilled water and L-Taurine showed a significant effect (lesions / aberrations) to the cytoarchitecture of liver and kidney.</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w:t>
      </w:r>
      <w:r>
        <w:rPr>
          <w:rFonts w:ascii="Georgia" w:hAnsi="Georgia" w:cs="Georgia" w:eastAsia="Georgia"/>
          <w:sz w:val="22"/>
          <w:szCs w:val="22"/>
          <w:b w:val="0"/>
          <w:bCs w:val="0"/>
          <w:strike w:val="0"/>
          <w:shd w:val="clear" w:fill="BFBFBF"/>
          <w:color w:val="000000"/>
        </w:rPr>
        <w:t>Based on the results of this study, pure MSG and pure ethanolic leaf extract of Z. talanai caused the lesions / aberrations to the liver and kidney.</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w:t>
      </w:r>
      <w:r>
        <w:rPr>
          <w:rFonts w:ascii="Georgia" w:hAnsi="Georgia" w:cs="Georgia" w:eastAsia="Georgia"/>
          <w:sz w:val="22"/>
          <w:szCs w:val="22"/>
          <w:b w:val="0"/>
          <w:bCs w:val="0"/>
          <w:strike w:val="0"/>
          <w:shd w:val="clear" w:fill="BFBFBF"/>
          <w:color w:val="000000"/>
        </w:rPr>
        <w:t>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w:t>
      </w:r>
      <w:r>
        <w:rPr>
          <w:rFonts w:ascii="Georgia" w:hAnsi="Georgia" w:cs="Georgia" w:eastAsia="Georgia"/>
          <w:sz w:val="22"/>
          <w:szCs w:val="22"/>
          <w:b w:val="0"/>
          <w:bCs w:val="0"/>
          <w:strike w:val="0"/>
          <w:shd w:val="clear" w:fill="BFBFBF"/>
          <w:color w:val="000000"/>
        </w:rPr>
        <w:t xml:space="preserve">Overall, the combination of Ziehl-Neelsen staining, biochemical testing like the catalase test, and evaluating growth in the presence of the Salt Tolerance Test provides a comprehensive approach for diagnosing and studying mycobacteriosis in cultivated milkfish, offering insights that </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cs="Georgia" w:eastAsia="Georgia"/>
          <w:sz w:val="22"/>
          <w:szCs w:val="22"/>
          <w:b w:val="0"/>
          <w:bCs w:val="0"/>
          <w:strike w:val="0"/>
          <w:shd w:val="clear" w:fill="BFBFBF"/>
          <w:color w:val="000000"/>
        </w:rPr>
        <w:t>Nine out of ten isolates exhibit quorum quenching activities by inhibiting the swarming motility of Pseudomonas aeruginosa.</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metabolic compounds of the isolates were subjected to initial characterization using enzyme and pH neutralization, which revealed that organic acids were responsible for the inhibitory activity. </w:t>
      </w:r>
      <w:r>
        <w:rPr>
          <w:rFonts w:ascii="Georgia" w:hAnsi="Georgia" w:cs="Georgia" w:eastAsia="Georgia"/>
          <w:sz w:val="22"/>
          <w:szCs w:val="22"/>
          <w:b w:val="0"/>
          <w:bCs w:val="0"/>
          <w:strike w:val="0"/>
          <w:shd w:val="clear" w:fill="BFBFBF"/>
          <w:color w:val="000000"/>
        </w:rPr>
        <w:t>The inhibition activity of LAB isolates against the quorum sensing-mediated swarming motility in P. aeruginosa was due to strong antibacterial activity.</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color w:val="000000"/>
          <w:strike w:val="1"/>
        </w:rPr>
        <w:t>should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cs="Georgia" w:eastAsia="Georgia"/>
          <w:sz w:val="22"/>
          <w:szCs w:val="22"/>
          <w:b w:val="0"/>
          <w:bCs w:val="0"/>
          <w:strike w:val="0"/>
          <w:shd w:val="clear" w:fill="BFBFBF"/>
          <w:color w:val="000000"/>
        </w:rPr>
        <w:t>T1 revealed that Zoletil® alone is not enough to fully induce Stage 3 anesthesia in zebrafish.</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However, when sodium bicarbonate was added, Stage 3 was achieved, while using only a small amount of Zoletil®.</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w:t>
      </w:r>
      <w:r>
        <w:rPr>
          <w:rFonts w:ascii="Georgia" w:hAnsi="Georgia" w:cs="Georgia" w:eastAsia="Georgia"/>
          <w:sz w:val="22"/>
          <w:szCs w:val="22"/>
          <w:b w:val="0"/>
          <w:bCs w:val="0"/>
          <w:strike w:val="0"/>
          <w:shd w:val="clear" w:fill="BFBFBF"/>
          <w:color w:val="000000"/>
        </w:rPr>
        <w:t>On the other hand, the evaluation of retail egg vendors showed a major issue of reusing the egg trays across vendors which has been strongly linked to bacterial growth on eggshells, yolks and albumen, with p-values of 0.030 and 0.014, respectively.</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The findings </w:t>
      </w:r>
      <w:r>
        <w:rPr>
          <w:rFonts w:ascii="Georgia" w:hAnsi="Georgia" w:cs="Georgia" w:eastAsia="Georgia"/>
          <w:sz w:val="22"/>
          <w:szCs w:val="22"/>
          <w:b w:val="0"/>
          <w:bCs w:val="0"/>
          <w:color w:val="000000"/>
          <w:strike w:val="1"/>
        </w:rPr>
        <w:t>suggests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cs="Georgia" w:eastAsia="Georgia"/>
          <w:sz w:val="22"/>
          <w:szCs w:val="22"/>
          <w:b w:val="0"/>
          <w:bCs w:val="0"/>
          <w:strike w:val="0"/>
          <w:shd w:val="clear" w:fill="BFBFBF"/>
          <w:color w:val="000000"/>
        </w:rPr>
        <w:t>Results indicated that most vendors lacked formal training in milk-handling (100 %) did not use refrigeration, new bottles, or any preservation methods (100%).</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 [R]</w:t>
      </w:r>
      <w:r>
        <w:rPr>
          <w:rFonts w:ascii="Georgia" w:hAnsi="Georgia" w:cs="Georgia" w:eastAsia="Georgia"/>
          <w:sz w:val="22"/>
          <w:szCs w:val="22"/>
          <w:b w:val="0"/>
          <w:bCs w:val="0"/>
          <w:strike w:val="0"/>
          <w:shd w:val="clear" w:fill="BFBFBF"/>
          <w:color w:val="000000"/>
        </w:rPr>
        <w:t/>
      </w:r>
      <w:r>
        <w:rPr>
          <w:rFonts w:ascii="Georgia" w:hAnsi="Georgia" w:cs="Georgia" w:eastAsia="Georgia"/>
          <w:sz w:val="20"/>
          <w:szCs w:val="20"/>
          <w:b w:val="0"/>
          <w:bCs w:val="0"/>
          <w:strike w:val="0"/>
          <w:color w:val="000000"/>
        </w:rPr>
        <w:t xml:space="preserve"/>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cs="Georgia" w:eastAsia="Georgia"/>
          <w:sz w:val="22"/>
          <w:szCs w:val="22"/>
          <w:b w:val="0"/>
          <w:bCs w:val="0"/>
          <w:strike w:val="0"/>
          <w:shd w:val="clear" w:fill="BFBFBF"/>
          <w:color w:val="000000"/>
        </w:rPr>
        <w:t>A total of 181 microplastics were detected across all samples, wherein the concentration of microplastics was higher in Treatment 1 (74.03%).</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cs="Georgia" w:eastAsia="Georgia"/>
          <w:sz w:val="22"/>
          <w:szCs w:val="22"/>
          <w:b w:val="0"/>
          <w:bCs w:val="0"/>
          <w:strike w:val="0"/>
          <w:shd w:val="clear" w:fill="BFBFBF"/>
          <w:color w:val="000000"/>
        </w:rPr>
        <w:t>In general, lung samples were sensitive to all antibiotics except amoxicillin-clavulanic acid.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w:t>
      </w:r>
      <w:r>
        <w:rPr>
          <w:rFonts w:ascii="Georgia" w:hAnsi="Georgia" w:cs="Georgia" w:eastAsia="Georgia"/>
          <w:sz w:val="22"/>
          <w:szCs w:val="22"/>
          <w:b w:val="0"/>
          <w:bCs w:val="0"/>
          <w:strike w:val="0"/>
          <w:shd w:val="clear" w:fill="BFBFBF"/>
          <w:color w:val="000000"/>
        </w:rPr>
        <w:t>In contrast, the data showed that lung and chick samples exhibited marked resistance.</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 each lowered to 0.25 ml, 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w:t>
      </w:r>
      <w:r>
        <w:rPr>
          <w:rFonts w:ascii="Georgia" w:hAnsi="Georgia" w:cs="Georgia" w:eastAsia="Georgia"/>
          <w:sz w:val="22"/>
          <w:szCs w:val="22"/>
          <w:b w:val="0"/>
          <w:bCs w:val="0"/>
          <w:strike w:val="0"/>
          <w:shd w:val="clear" w:fill="BFBFBF"/>
          <w:color w:val="000000"/>
        </w:rPr>
        <w:t>One way ANOVA was used and the differences between the groups were statistically significant.</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 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cs="Georgia" w:eastAsia="Georgia"/>
          <w:sz w:val="22"/>
          <w:szCs w:val="22"/>
          <w:b w:val="0"/>
          <w:bCs w:val="0"/>
          <w:strike w:val="0"/>
          <w:shd w:val="clear" w:fill="BFBFBF"/>
          <w:color w:val="000000"/>
        </w:rPr>
        <w:t>Results revealed that Treatment 3, with 40% concentration of Noni had the highest zone of inhibition in vitro with comparable antibacterial activity as the positive control against S. aureus.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t>
      </w:r>
      <w:r>
        <w:rPr>
          <w:rFonts w:ascii="Georgia" w:hAnsi="Georgia" w:cs="Georgia" w:eastAsia="Georgia"/>
          <w:sz w:val="22"/>
          <w:szCs w:val="22"/>
          <w:b w:val="0"/>
          <w:bCs w:val="0"/>
          <w:strike w:val="0"/>
          <w:shd w:val="clear" w:fill="BFBFBF"/>
          <w:color w:val="000000"/>
        </w:rPr>
        <w:t>With the in vitro and in vivo results, Noni fruit ethanolic extract with 40% concentration has antibacterial property.</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cs="Georgia" w:eastAsia="Georgia"/>
          <w:sz w:val="22"/>
          <w:szCs w:val="22"/>
          <w:b w:val="0"/>
          <w:bCs w:val="0"/>
          <w:strike w:val="0"/>
          <w:shd w:val="clear" w:fill="BFBFBF"/>
          <w:color w:val="000000"/>
        </w:rPr>
        <w:t>Participants exhibited an overall moderate level of awareness (mean=3.30) on canine zoonotic diseases.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w:t>
      </w:r>
      <w:r>
        <w:rPr>
          <w:rFonts w:ascii="Georgia" w:hAnsi="Georgia" w:cs="Georgia" w:eastAsia="Georgia"/>
          <w:sz w:val="22"/>
          <w:szCs w:val="22"/>
          <w:b w:val="0"/>
          <w:bCs w:val="0"/>
          <w:strike w:val="0"/>
          <w:shd w:val="clear" w:fill="BFBFBF"/>
          <w:color w:val="000000"/>
        </w:rPr>
        <w:t>Using Pearson’s correlation, significant associations (p&lt;0.05) were found between awareness on zoonotic diseases and sociodemographic factors, such as educational attainment (p-value=0.000), monthly income (p-value=0.007), and years of dog ownership (p-value=0.001).</w:t>
      </w:r>
      <w:r>
        <w:rPr>
          <w:rFonts w:ascii="Georgia" w:hAnsi="Georgia" w:cs="Georgia" w:eastAsia="Georgia"/>
          <w:sz w:val="20"/>
          <w:szCs w:val="20"/>
          <w:b w:val="0"/>
          <w:bCs w:val="0"/>
          <w:strike w:val="0"/>
          <w:color w:val="000000"/>
        </w:rPr>
        <w:t xml:space="preserve"> [R]</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cs="Georgia" w:eastAsia="Georgia"/>
          <w:sz w:val="22"/>
          <w:szCs w:val="22"/>
          <w:b w:val="0"/>
          <w:bCs w:val="0"/>
          <w:strike w:val="0"/>
          <w:shd w:val="clear" w:fill="BFBFBF"/>
          <w:color w:val="000000"/>
        </w:rPr>
        <w:t>The results indicated that most respondents demonstrated high knowledge about rabies (69.3%), particularly regarding transmission and prevention, However, misconceptions persisted, notably about rabies’ incurability (39.8%) and the role of neutering in disease control (50.3%).</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cs="Georgia" w:eastAsia="Georgia"/>
          <w:sz w:val="22"/>
          <w:szCs w:val="22"/>
          <w:b w:val="0"/>
          <w:bCs w:val="0"/>
          <w:strike w:val="0"/>
          <w:shd w:val="clear" w:fill="BFBFBF"/>
          <w:color w:val="000000"/>
        </w:rPr>
        <w:t>Multiple linear regression analysis confirmed interrelationships among KAP dimensions, revealing that higher knowledge scores significantly predicted better preventive behaviors (p &lt; 0.001).</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Topsoil only (control), T2, Topsoil + Rice Hull, T3, Topsoil + Carbonized Rice Hull, T4, Topsoil + Vermicompost, and T5: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w:t>
      </w:r>
      <w:r>
        <w:rPr>
          <w:rFonts w:ascii="Georgia" w:hAnsi="Georgia" w:cs="Georgia" w:eastAsia="Georgia"/>
          <w:sz w:val="22"/>
          <w:szCs w:val="22"/>
          <w:b w:val="0"/>
          <w:bCs w:val="0"/>
          <w:strike w:val="0"/>
          <w:shd w:val="clear" w:fill="BFBFBF"/>
          <w:color w:val="000000"/>
        </w:rPr>
        <w:t>Based on the results, there was no significant difference among the different methods of kuhol amino acid app in terms of plant height, weight of marketable and weight of non-marketable fruit, number of marketable and non-marketable fruits, and computed yield.</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Different methods of kuhol amino acid application influenced the plant height, weight of fruits, number of marketable and non-marketable fruits, and computed yield.</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researcher </w:t>
      </w:r>
      <w:r>
        <w:rPr>
          <w:rFonts w:ascii="Georgia" w:hAnsi="Georgia" w:cs="Georgia" w:eastAsia="Georgia"/>
          <w:sz w:val="22"/>
          <w:szCs w:val="22"/>
          <w:b w:val="0"/>
          <w:bCs w:val="0"/>
          <w:color w:val="000000"/>
          <w:strike w:val="1"/>
        </w:rPr>
        <w:t>recommends</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w:t>
      </w:r>
      <w:r>
        <w:rPr>
          <w:rFonts w:ascii="Georgia" w:hAnsi="Georgia" w:cs="Georgia" w:eastAsia="Georgia"/>
          <w:sz w:val="22"/>
          <w:szCs w:val="22"/>
          <w:b w:val="0"/>
          <w:bCs w:val="0"/>
          <w:strike w:val="0"/>
          <w:shd w:val="clear" w:fill="BFBFBF"/>
          <w:color w:val="000000"/>
        </w:rPr>
        <w:t>The results of the study revealed the following: a significant difference was observed in the number of productive tillers, actual yield per sample area, and computed yield per ton/ha.</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No significant differences were observed in terms of the number of days from transplanting to flowering, plant height, number of unproductive tillers, length of panicle, number of filled grains, number of unfilled grains, and weight of 1,000 seeds. </w:t>
      </w:r>
      <w:r>
        <w:rPr>
          <w:rFonts w:ascii="Georgia" w:hAnsi="Georgia" w:cs="Georgia" w:eastAsia="Georgia"/>
          <w:sz w:val="22"/>
          <w:szCs w:val="22"/>
          <w:b w:val="0"/>
          <w:bCs w:val="0"/>
          <w:strike w:val="0"/>
          <w:shd w:val="clear" w:fill="BFBFBF"/>
          <w:color w:val="000000"/>
        </w:rPr>
        <w:t>In conclusion, T3: NPK+14-14-14 was the most compelling treatment among all treatments in terms of producing the highest number of productive tillers and obtaining the heaviest yield per ton/ha.</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w:t>
      </w:r>
      <w:r>
        <w:rPr>
          <w:rFonts w:ascii="Georgia" w:hAnsi="Georgia" w:cs="Georgia" w:eastAsia="Georgia"/>
          <w:sz w:val="22"/>
          <w:szCs w:val="22"/>
          <w:b w:val="0"/>
          <w:bCs w:val="0"/>
          <w:strike w:val="0"/>
          <w:shd w:val="clear" w:fill="BFBFBF"/>
          <w:color w:val="000000"/>
        </w:rPr>
        <w:t>The results of the study revealed the following: No significant differences were observed in terms of mean initial weight (kg), mean final weight (kg), mean gain in weight (kg), mean DM intake (kg), or feed conversion ratio.</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The student researcher concluded that T2 (20% GA Leaves + 40% Paragrass + 40% Concentrate Feeds) was the most compelling treatment among all treatments for the rabbits in terms of outperforming the data numerically.</w:t>
      </w:r>
      <w:r>
        <w:rPr>
          <w:rFonts w:ascii="Georgia" w:hAnsi="Georgia" w:cs="Georgia" w:eastAsia="Georgia"/>
          <w:sz w:val="20"/>
          <w:szCs w:val="20"/>
          <w:b w:val="0"/>
          <w:bCs w:val="0"/>
          <w:strike w:val="0"/>
          <w:color w:val="000000"/>
        </w:rPr>
        <w:t xml:space="preserve"> [G]</w:t>
      </w:r>
      <w:r>
        <w:rPr>
          <w:rFonts w:ascii="Georgia" w:hAnsi="Georgia" w:cs="Georgia" w:eastAsia="Georgia"/>
          <w:sz w:val="22"/>
          <w:szCs w:val="22"/>
          <w:b w:val="0"/>
          <w:bCs w:val="0"/>
          <w:strike w:val="0"/>
          <w:color w:val="000000"/>
        </w:rPr>
        <w:t xml:space="preserve">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w:t>
      </w:r>
      <w:r>
        <w:rPr>
          <w:rFonts w:ascii="Georgia" w:hAnsi="Georgia" w:cs="Georgia" w:eastAsia="Georgia"/>
          <w:sz w:val="22"/>
          <w:szCs w:val="22"/>
          <w:b w:val="0"/>
          <w:bCs w:val="0"/>
          <w:strike w:val="0"/>
          <w:shd w:val="clear" w:fill="BFBFBF"/>
          <w:color w:val="000000"/>
        </w:rPr>
        <w:t>But when it came to mean ultimate weight in the treated birds, the fermented okara extract had the biggest impact, resulting in the heaviest weight.</w:t>
      </w:r>
      <w:r>
        <w:rPr>
          <w:rFonts w:ascii="Georgia" w:hAnsi="Georgia" w:cs="Georgia" w:eastAsia="Georgia"/>
          <w:sz w:val="20"/>
          <w:szCs w:val="20"/>
          <w:b w:val="0"/>
          <w:bCs w:val="0"/>
          <w:strike w:val="0"/>
          <w:color w:val="000000"/>
        </w:rPr>
        <w:t xml:space="preserve"> [C]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Additionally, the total return result showed a promising future for fermented okara extract at a level of 60 ml (166.00 PHP).</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cs="Georgia" w:eastAsia="Georgia"/>
          <w:sz w:val="22"/>
          <w:szCs w:val="22"/>
          <w:b w:val="0"/>
          <w:bCs w:val="0"/>
          <w:strike w:val="0"/>
          <w:shd w:val="clear" w:fill="BFBFBF"/>
          <w:color w:val="000000"/>
        </w:rPr>
        <w:t>It was found to have a significant effect on the growth and germination rate of pigeon pea in terms of days to germinate, plant height, a number of leaves, and length of leaves.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Fonts w:ascii="Georgia" w:hAnsi="Georgia" w:cs="Georgia" w:eastAsia="Georgia"/>
          <w:sz w:val="20"/>
          <w:szCs w:val="20"/>
          <w:b w:val="0"/>
          <w:bCs w:val="0"/>
          <w:strike w:val="0"/>
          <w:color w:val="000000"/>
        </w:rPr>
        <w:t xml:space="preserve"> [G]</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cs="Georgia" w:eastAsia="Georgia"/>
          <w:sz w:val="22"/>
          <w:szCs w:val="22"/>
          <w:b w:val="0"/>
          <w:bCs w:val="0"/>
          <w:strike w:val="0"/>
          <w:shd w:val="clear" w:fill="BFBFBF"/>
          <w:color w:val="000000"/>
        </w:rPr>
        <w:t>The results disclosed that the percentage of mortality and moisture content were statistically significant at 1% (P&lt;0.01) and (P&lt;0.05) level with 48 hours after the post-treatment.</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shd w:val="clear" w:fill="BFBFBF"/>
          <w:color w:val="000000"/>
        </w:rPr>
        <w:t>However, mortality rate and moisture content were not significant after 6 hours and 24 hours.</w:t>
      </w:r>
      <w:r>
        <w:rPr>
          <w:rFonts w:ascii="Georgia" w:hAnsi="Georgia" w:cs="Georgia" w:eastAsia="Georgia"/>
          <w:sz w:val="20"/>
          <w:szCs w:val="20"/>
          <w:b w:val="0"/>
          <w:bCs w:val="0"/>
          <w:strike w:val="0"/>
          <w:color w:val="000000"/>
        </w:rPr>
        <w:t xml:space="preserve"> [R]</w:t>
      </w:r>
      <w:r>
        <w:rPr>
          <w:rFonts w:ascii="Georgia" w:hAnsi="Georgia" w:cs="Georgia" w:eastAsia="Georgia"/>
          <w:sz w:val="22"/>
          <w:szCs w:val="22"/>
          <w:b w:val="0"/>
          <w:bCs w:val="0"/>
          <w:strike w:val="0"/>
          <w:color w:val="000000"/>
        </w:rPr>
        <w:t xml:space="preserve"> Therefore, it is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0"/>
          <w:szCs w:val="20"/>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0"/>
          <w:szCs w:val="20"/>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0"/>
          <w:szCs w:val="20"/>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