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Times New Roman" w:hAnsi="Times New Roman"/>
          <w:sz w:val="24"/>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The analytical pipeline moves from Step 1 and Step 2 through frequency analysis and cross-disciplinary comparison to functional and interpretive reading. Source jobs for that pipeline are stated in the framework text rather than drawn as separate boxes on the figure: Hyland (1998) supplies the type instrument and the EC/P starting point for retained hedges, Crompton (1997) supports the Step 3 EC diagnostic, Salager-Meyer (1994) is the Part IV claim-responsibility lens, and Hyland (2005) is the stance lens for implications. Discourse Organization is a test category for non-epistemic organization inspected in tagging and logging. It is not treated as one of Hyland’s hedge functions on the figure or in the coding instrument.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val="0"/>
          <w:bCs/>
        </w:rPr>
        <w:t>Epistemic Weight, conceptually, epistemic weight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r>
        <w:rPr>
          <w:rFonts w:ascii="Georgia" w:hAnsi="Georgia" w:cs="Georgia" w:eastAsia="Georgia"/>
          <w:i w:val="0"/>
          <w:iCs w:val="0"/>
          <w:sz w:val="22"/>
          <w:szCs w:val="22"/>
          <w:rtl w:val="0"/>
          <w:b w:val="0"/>
          <w:bCs w:val="0"/>
        </w:rPr>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sz w:val="22"/>
          <w:b w:val="0"/>
          <w:bCs w:val="0"/>
        </w:rPr>
        <w:t>Softening, conceptually, softening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r>
        <w:rPr>
          <w:rFonts w:ascii="Georgia" w:hAnsi="Georgia" w:cs="Georgia" w:eastAsia="Georgia"/>
          <w:b w:val="0"/>
          <w:i w:val="0"/>
          <w:sz w:val="22"/>
        </w:rPr>
      </w:r>
      <w:r>
        <w:rPr>
          <w:rFonts w:ascii="Georgia" w:hAnsi="Georgia" w:cs="Georgia" w:eastAsia="Georgia"/>
          <w:b w:val="0"/>
          <w:i w:val="0"/>
          <w:sz w:val="22"/>
          <w:color w:val="000000"/>
        </w:rPr>
      </w:r>
      <w:r>
        <w:rPr>
          <w:rFonts w:ascii="Georgia" w:hAnsi="Georgia" w:cs="Georgia" w:eastAsia="Georgia"/>
          <w:b w:val="0"/>
          <w:i w:val="0"/>
          <w:sz w:val="22"/>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Steps 1–3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2. Lexical hedges: suggest, indicate, appear, seem, propose, assume, possible, probable, likely, potential (and similar epistemic adjectives or nouns) when they qualify the force or certainty of a claim and pass the sort as retained hedges.</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i w:val="0"/>
          <w:sz w:val="22"/>
          <w:szCs w:val="22"/>
          <w:rtl w:val="0"/>
          <w:b w:val="0"/>
          <w:bCs w:val="0"/>
        </w:rPr>
        <w:t>• Never retained as hedges: ability, future procedure, must/should in procedural steps, and deontic recommendations or obligations (FP-Rec). • Coding order: holistic read → Step 1 (candidate tagging, wide net) → Step 2 (sort) → Step 3 (function on retained hedges only). • Step 1 marks hedge-like forms, findings framing or sequencing, and FP-looking forms for inspection. It does not yet count hedges. • Step 2 (retained hedge): keep only if removing the device makes a knowledge claim more categorical or more direct, or softens how that claim is put forward. • Step 2 (pure DO log): findings framing or sequencing only, with no commitment change and no interpersonal softening, is logged as discourse organization and excluded from the retained hedge set. • Step 2 (FP): capability, pure procedure, recommendation, topic-naming, and non-claim sequencing are rejected. • Step 3 (function): label retained hedges EC, P, and/or DO. Co-occurrence allowed. • Working Test (EC only): does removing the device change commitment to the truth of the proposition? Supports EC.</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The inventory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hAnsi="Georgia" w:cs="Georgia" w:eastAsia="Georgia"/>
          <w:i w:val="0"/>
          <w:iCs w:val="0"/>
          <w:sz w:val="22"/>
          <w:szCs w:val="24"/>
          <w:rtl w:val="0"/>
          <w:b/>
          <w:bCs w:val="0"/>
        </w:rPr>
        <w:t>STEP 1, STEP 2, STEP 3,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rPr>
      </w:r>
    </w:p>
    <w:p w:rsidR="00000000" w:rsidDel="00000000" w:rsidP="00000000" w:rsidRDefault="00000000" w:rsidRPr="00000000" w14:paraId="000001BB">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hAnsi="Georgia" w:cs="Georgia" w:eastAsia="Georgia"/>
          <w:i w:val="0"/>
          <w:iCs w:val="0"/>
          <w:sz w:val="22"/>
          <w:szCs w:val="22"/>
          <w:rtl w:val="0"/>
          <w:b/>
          <w:bCs w:val="0"/>
        </w:rPr>
        <w:t>WORKING EXAMPLES: STEP 2 SORT AND STEP 3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hAnsi="Georgia" w:cs="Georgia" w:eastAsia="Georgia"/>
          <w:i w:val="0"/>
          <w:iCs w:val="0"/>
          <w:sz w:val="22"/>
          <w:szCs w:val="22"/>
          <w:rtl w:val="0"/>
          <w:b w:val="0"/>
          <w:bCs w:val="0"/>
        </w:rPr>
        <w:t>Strike through a hedge-like token that fails Step 2 as a retained hedge. Write the reason code beside it in grey text (FP-Cap, FP-Rec, FP-Proc, FP-Gen, or related codes). Pure DO logs are not false positives of that kind. They are non-hedge organization marks outside the retained count.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