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40" w:after="40" w:line="280" w:lineRule="auto"/>
        <w:jc w:val="both"/>
      </w:pPr>
      <w:r>
        <w:rPr>
          <w:rFonts w:ascii="Georgia" w:hAnsi="Georgia" w:cs="Georgia" w:eastAsia="Georgia"/>
          <w:sz w:val="20"/>
          <w:szCs w:val="20"/>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spacing w:before="24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line="480" w:lineRule="auto"/>
        <w:jc w:val="left"/>
      </w:pPr>
      <w:r>
        <w:rPr>
          <w:rFonts w:ascii="Georgia" w:hAnsi="Georgia" w:cs="Georgia" w:eastAsia="Georgia"/>
          <w:sz w:val="24"/>
          <w:szCs w:val="24"/>
          <w:rtl w:val="0"/>
          <w:b/>
          <w:bCs w:val="0"/>
        </w:rPr>
        <w:t xml:space="preserve">
        WORKING EXAMPLES: STEP 2 (WORKING TEST + READER TEST) AND STEP 3 TYPE
    </w:t>
      </w:r>
      <w:r>
        <w:rPr>
          <w:rFonts w:ascii="Georgia" w:hAnsi="Georgia" w:cs="Georgia" w:eastAsia="Georgia"/>
          <w:rtl w:val="0"/>
          <w:b w:val="1"/>
          <w:sz w:val="24"/>
          <w:szCs w:val="24"/>
        </w:rPr>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 “In conclusion, T3 produced the highest yield.” Removing the frame changes neither truth-commitment nor interpersonal imposition toward readers/prior work → FP. Not a function label.</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cs="Georgia" w:eastAsia="Georgia"/>
              </w:rPr>
            </w:r>
          </w:p>
        </w:tc>
      </w:tr>
      <w:tr>
        <w:trPr>
          <w:cantSplit/>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cs="Georgia" w:eastAsia="Georgia"/>
              </w:rPr>
            </w:r>
          </w:p>
        </w:tc>
      </w:tr>
    </w:tbl>
    <w:p w:rsidR="00000000" w:rsidDel="00000000" w:rsidP="00000000" w:rsidRDefault="00000000" w:rsidRPr="00000000" w14:paraId="00000248">
      <w:pPr>
        <w:spacing w:before="240" w:after="0" w:line="4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4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4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4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