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REVISIONS AND BORDERLINE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Structural position is used as a coding heuristic for these forms, but the Working Test takes priority when the two conflict: a token that changes epistemic commitment is coded as a Lexical hedge (EC) even in an introduction or rationale sentence.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35.0%</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36</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60.0%</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5.0%</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 xml:space="preserve">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 xml:space="preserve">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(53.8%)</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12 (46.2%)</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(20.0%)</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17 (68.0%)</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(12.0%)</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(22.2%)</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7 (77.8%)</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(35.0%)</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36 (60.0%)</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(5.0%)</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 xml:space="preserve">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 xml:space="preserve">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26</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0.60</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35</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7</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0.55</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9</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13</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0.18</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63</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0.43</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 xml:space="preserve">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 xml:space="preserve">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60 hedge tokens in the corpus served the function of Epistemic Caution (EC). No instances of Politeness/Deference (P) or Discourse Organization (DO)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 xml:space="preserve">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 xml:space="preserve">rEFLections, 32</w:t>
      </w:r>
      <w:r>
        <w:rPr>
          <w:rFonts w:ascii="Georgia" w:cs="Georgia" w:eastAsia="Georgia" w:hAnsi="Georgia"/>
          <w:b w:val="0"/>
          <w:bCs w:val="0"/>
          <w:i w:val="0"/>
          <w:iCs w:val="0"/>
          <w:sz w:val="22"/>
          <w:szCs w:val="22"/>
          <w:rtl w:val="0"/>
        </w:rPr>
        <w:t xml:space="preserve">(2), 951–970.</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 xml:space="preserve">https://doi.org/10.47772/IJRISS.2025.91100485</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strike w:val="0"/>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cs="Georgia" w:eastAsia="Georgia" w:hAnsi="Georgia"/>
          <w:b w:val="0"/>
          <w:bCs w:val="0"/>
          <w:i w:val="0"/>
          <w:iCs w:val="0"/>
          <w:color w:val="000000"/>
          <w:sz w:val="22"/>
          <w:szCs w:val="22"/>
          <w:rtl w:val="0"/>
        </w:rPr>
        <w:t xml:space="preserve"> that C. longa extracts are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(FP-Gen)</w:t>
      </w:r>
      <w:r>
        <w:rPr>
          <w:rFonts w:ascii="Georgia" w:cs="Georgia" w:eastAsia="Georgia" w:hAnsi="Georgia"/>
          <w:b w:val="0"/>
          <w:bCs w:val="0"/>
          <w:i w:val="0"/>
          <w:iCs w:val="0"/>
          <w:color w:val="000000"/>
          <w:sz w:val="22"/>
          <w:szCs w:val="22"/>
          <w:rtl w:val="0"/>
        </w:rPr>
        <w:t xml:space="preserve"> alternative stains. PCR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R</w:t>
      </w:r>
      <w:r>
        <w:rPr>
          <w:rFonts w:ascii="Georgia" w:cs="Georgia" w:eastAsia="Georgia" w:hAnsi="Georgia"/>
          <w:b w:val="0"/>
          <w:bCs w:val="0"/>
          <w:i w:val="1"/>
          <w:iCs w:val="1"/>
          <w:color w:val="404040"/>
          <w:sz w:val="22"/>
          <w:szCs w:val="22"/>
          <w:rtl w:val="0"/>
        </w:rPr>
        <w:t xml:space="preserve">ed highlights mark type. Orange text marks function. The strikethrough marks a rejected candidate. Grey highlight marks an unhedged site. Here, “potential” is struck because it names a research property, not a hedge on the claim.</w:t>
      </w:r>
      <w:r>
        <w:rPr>
          <w:rtl w:val="0"/>
        </w:rPr>
      </w:r>
    </w:p>
    <w:p w:rsidR="00000000" w:rsidDel="00000000" w:rsidP="00000000" w:rsidRDefault="00000000" w:rsidRPr="00000000" w14:paraId="00000247">
      <w:pPr>
        <w:keepNext w:val="1"/>
        <w:spacing w:before="12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A10 and Aas1 to A10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288"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color w:val="000000"/>
          <w:sz w:val="22"/>
          <w:szCs w:val="22"/>
          <w:rtl w:val="0"/>
        </w:rPr>
        <w:t xml:space="preserve">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 Prefer the Working Test over structural position when the two conflict: if removing the token changes the writer’s commitment to a proposition, code it as a Lexical hedge (EC) even in an introduction or rationale sentence.</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0 hedges  ·  0.0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cs="Georgia" w:eastAsia="Georgia" w:hAnsi="Georgia"/>
          <w:b w:val="1"/>
          <w:bCs w:val="1"/>
          <w:strike w:val="0"/>
          <w:color w:val="000000"/>
          <w:sz w:val="22"/>
          <w:szCs w:val="22"/>
          <w:shd w:fill="bfbfbf" w:val="clear"/>
          <w:rtl w:val="0"/>
        </w:rPr>
        <w:t xml:space="preserve">revealed the presence of acid-fast bacteria in the tissues of infected milkfish, confirming the occurrence of mycobacteriosis infection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cs="Georgia" w:eastAsia="Georgia" w:hAnsi="Georgia"/>
          <w:b w:val="1"/>
          <w:bCs w:val="1"/>
          <w:strike w:val="0"/>
          <w:color w:val="000000"/>
          <w:sz w:val="22"/>
          <w:szCs w:val="22"/>
          <w:shd w:fill="bfbfbf" w:val="clear"/>
          <w:rtl w:val="0"/>
        </w:rPr>
        <w:t xml:space="preserve">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offering insights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guide effective management strategies to control the spread of this disease in aquaculture system.</w:t>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0 hedges  ·  0.0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cs="Georgia" w:eastAsia="Georgia" w:hAnsi="Georgia"/>
          <w:b w:val="1"/>
          <w:bCs w:val="1"/>
          <w:strike w:val="0"/>
          <w:color w:val="000000"/>
          <w:sz w:val="22"/>
          <w:szCs w:val="22"/>
          <w:shd w:fill="bfbfbf" w:val="clear"/>
          <w:rtl w:val="0"/>
        </w:rPr>
        <w:t xml:space="preserve">Nine out of ten isolates exhibit quorum quenching activities by inhibiting the swarming motility of Pseudomonas aeruginosa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metabolic compounds of the isolates were subjected to initial characterization using enzyme and pH neutralization, which revealed that organic acids were responsible for the inhibitory activity. </w:t>
      </w:r>
      <w:r>
        <w:rPr>
          <w:rFonts w:ascii="Georgia" w:cs="Georgia" w:eastAsia="Georgia" w:hAnsi="Georgia"/>
          <w:b w:val="1"/>
          <w:bCs w:val="1"/>
          <w:strike w:val="0"/>
          <w:color w:val="000000"/>
          <w:sz w:val="22"/>
          <w:szCs w:val="22"/>
          <w:shd w:fill="bfbfbf" w:val="clear"/>
          <w:rtl w:val="0"/>
        </w:rPr>
        <w:t xml:space="preserve">The inhibition activity of LAB isolates against the quorum sensing-mediated swarming motility in P. aeruginosa was due to strong antibacterial activity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4 hedges  ·  1.79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severe pathogen that has developed resistance to several types of antibiotics. MRSA bacteria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long on surfaces and objects, including second-hand clothing (SHC). The increasing popularity of SHC or “ukay-ukay” in the Philippines, coupled with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public health risks associated with the handling and purchasing of second-hand clothing. This study, therefore, underscores the need for proper precautions to mitigate the spread of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harmful bacteria, including MRSA, on second-hand clothing. It highlights the importance of raising awareness among both vendors and consumers about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health risks associated with these garments.</w:t>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0 hedges  ·  0.0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cs="Georgia" w:eastAsia="Georgia" w:hAnsi="Georgia"/>
          <w:b w:val="1"/>
          <w:bCs w:val="1"/>
          <w:strike w:val="0"/>
          <w:color w:val="000000"/>
          <w:sz w:val="22"/>
          <w:szCs w:val="22"/>
          <w:shd w:fill="bfbfbf" w:val="clear"/>
          <w:rtl w:val="0"/>
        </w:rPr>
        <w:t xml:space="preserve">A total of 181 microplastics were detected across all samples, wherein the concentration of microplastics was higher in Treatment 1</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cs="Georgia" w:eastAsia="Georgia" w:hAnsi="Georgia"/>
          <w:b w:val="1"/>
          <w:bCs w:val="1"/>
          <w:strike w:val="1"/>
          <w:color w:val="000000"/>
          <w:sz w:val="22"/>
          <w:szCs w:val="22"/>
          <w:rtl w:val="0"/>
        </w:rPr>
        <w:t xml:space="preserve">recommend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removing the shrimp’s GIT during preparation to avoid ingestion, use fishing gear made from durable or natural materials, regularly maintain and replace worn equipment, and properly dispose of plastics instead of discarding them into water bodies.</w:t>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Magalang.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1 hedges  ·  0.32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drive animal production systems to find new sources of high-quality and sustainable protein feed raw materials. Fortunately, insect farming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seen as a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