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 A related direction is noted under Recommendations: coding mitigation more broadly without the epistemic-only filter.</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consists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6 presents the function distribution.</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The absence of Politeness and Discourse Organization among the 65 retained hedges should not be read as evidence that those functions are absent from PSAU student writing overall. The Working Test retains items that change epistemic weight, so the identification procedure is epistemically focused. Tokens that soften a claim without altering epistemic commitment may be excluded before functional classification. The compressed abstract genre may also limit rhetorical space for interactional or discourse-organizational mitigation. The present data cannot separate a coding effect from a genre effect. Both remain plausible accounts of the observed uniformity. That limitation is noted in Scope. The narrow functional range among retained hedges is consistent with restricted epistemic repertoires reported for developing L2 writers (Hyland &amp; Milton, 1997), though genre compression and supervisory practice remain proximate accounts in this corpus.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test for non-epistemic functions. The present study defined hedging as epistemic stance management, following Hyland (1998) and Salager-Meyer (1994), and applied the Working Test so that retained hedges are those that change the epistemic weight of a claim. Under that scheme, all retained hedges were coded Epistemic Caution. The uniform function assignment is therefore partly a methodological finding about the adapted screen,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complement the present counts by testing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