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2 reports population and sample sizes.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3 presents the distribution of hedge types across the full corpus.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b/>
          <w:sz w:val="22"/>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tl w:val="0"/>
        </w:rPr>
        <w:t xml:space="preserve">Hedge Type Distribution Across the Corpus</w:t>
      </w:r>
    </w:p>
    <w:tbl>
      <w:tblPr>
        <w:tblStyle w:val="Table2"/>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AB">
            <w:pPr>
              <w:spacing w:after="0" w:before="0" w:line="480" w:lineRule="auto"/>
              <w:rPr>
                <w:sz w:val="18"/>
                <w:szCs w:val="18"/>
              </w:rPr>
            </w:pPr>
            <w:r w:rsidDel="00000000" w:rsidR="00000000" w:rsidRPr="00000000">
              <w:rPr>
                <w:b w:val="1"/>
                <w:bCs w:val="1"/>
                <w:i w:val="0"/>
                <w:iCs w:val="0"/>
                <w:sz w:val="18"/>
                <w:szCs w:val="18"/>
                <w:rtl w:val="0"/>
              </w:rPr>
              <w:t xml:space="preserve">Hedge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C">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480" w:lineRule="auto"/>
              <w:rPr>
                <w:sz w:val="18"/>
                <w:szCs w:val="18"/>
              </w:rPr>
            </w:pPr>
            <w:r w:rsidDel="00000000" w:rsidR="00000000" w:rsidRPr="00000000">
              <w:rPr>
                <w:i w:val="0"/>
                <w:iCs w:val="0"/>
                <w:sz w:val="18"/>
                <w:szCs w:val="18"/>
                <w:rtl w:val="0"/>
              </w:rPr>
              <w:t xml:space="preserve">Modal Verbs</w:t>
            </w:r>
            <w:r w:rsidDel="00000000" w:rsidR="00000000" w:rsidRPr="00000000">
              <w:rPr>
                <w:rtl w:val="0"/>
              </w:rPr>
            </w:r>
          </w:p>
        </w:tc>
        <w:tc>
          <w:tcPr/>
          <w:p w:rsidR="00000000" w:rsidDel="00000000" w:rsidP="00000000" w:rsidRDefault="00000000" w:rsidRPr="00000000" w14:paraId="000000AF">
            <w:pPr>
              <w:spacing w:after="0" w:before="0" w:line="480" w:lineRule="auto"/>
              <w:rPr>
                <w:sz w:val="18"/>
                <w:szCs w:val="18"/>
              </w:rPr>
            </w:pPr>
            <w:r w:rsidDel="00000000" w:rsidR="00000000" w:rsidRPr="00000000">
              <w:rPr>
                <w:sz w:val="18"/>
                <w:szCs w:val="18"/>
                <w:rtl w:val="0"/>
              </w:rPr>
              <w:t xml:space="preserve">20</w:t>
            </w:r>
          </w:p>
        </w:tc>
      </w:tr>
      <w:tr>
        <w:trPr>
          <w:cantSplit w:val="1"/>
          <w:tblHeader w:val="0"/>
        </w:trPr>
        <w:tc>
          <w:tcPr/>
          <w:p w:rsidR="00000000" w:rsidDel="00000000" w:rsidP="00000000" w:rsidRDefault="00000000" w:rsidRPr="00000000" w14:paraId="000000B1">
            <w:pPr>
              <w:spacing w:after="0" w:before="0" w:line="480" w:lineRule="auto"/>
              <w:rPr>
                <w:sz w:val="18"/>
                <w:szCs w:val="18"/>
              </w:rPr>
            </w:pPr>
            <w:r w:rsidDel="00000000" w:rsidR="00000000" w:rsidRPr="00000000">
              <w:rPr>
                <w:i w:val="0"/>
                <w:iCs w:val="0"/>
                <w:sz w:val="18"/>
                <w:szCs w:val="18"/>
                <w:rtl w:val="0"/>
              </w:rPr>
              <w:t xml:space="preserve">Lexical Hedges</w:t>
            </w:r>
            <w:r w:rsidDel="00000000" w:rsidR="00000000" w:rsidRPr="00000000">
              <w:rPr>
                <w:rtl w:val="0"/>
              </w:rPr>
            </w:r>
          </w:p>
        </w:tc>
        <w:tc>
          <w:tcPr/>
          <w:p w:rsidR="00000000" w:rsidDel="00000000" w:rsidP="00000000" w:rsidRDefault="00000000" w:rsidRPr="00000000" w14:paraId="000000B2">
            <w:pPr>
              <w:spacing w:after="0" w:before="0" w:line="480" w:lineRule="auto"/>
              <w:rPr>
                <w:sz w:val="18"/>
                <w:szCs w:val="18"/>
              </w:rPr>
            </w:pPr>
            <w:r w:rsidDel="00000000" w:rsidR="00000000" w:rsidRPr="00000000">
              <w:rPr>
                <w:sz w:val="18"/>
                <w:szCs w:val="18"/>
                <w:rtl w:val="0"/>
              </w:rPr>
              <w:t xml:space="preserve">42</w:t>
            </w:r>
          </w:p>
        </w:tc>
      </w:tr>
      <w:tr>
        <w:trPr>
          <w:cantSplit w:val="1"/>
          <w:tblHeader w:val="0"/>
        </w:trPr>
        <w:tc>
          <w:tcPr/>
          <w:p w:rsidR="00000000" w:rsidDel="00000000" w:rsidP="00000000" w:rsidRDefault="00000000" w:rsidRPr="00000000" w14:paraId="000000B4">
            <w:pPr>
              <w:spacing w:after="0" w:before="0" w:line="480" w:lineRule="auto"/>
              <w:rPr>
                <w:sz w:val="18"/>
                <w:szCs w:val="18"/>
              </w:rPr>
            </w:pPr>
            <w:r w:rsidDel="00000000" w:rsidR="00000000" w:rsidRPr="00000000">
              <w:rPr>
                <w:i w:val="0"/>
                <w:iCs w:val="0"/>
                <w:sz w:val="18"/>
                <w:szCs w:val="18"/>
                <w:rtl w:val="0"/>
              </w:rPr>
              <w:t xml:space="preserve">Adverbial Hedges</w:t>
            </w:r>
            <w:r w:rsidDel="00000000" w:rsidR="00000000" w:rsidRPr="00000000">
              <w:rPr>
                <w:rtl w:val="0"/>
              </w:rPr>
            </w:r>
          </w:p>
        </w:tc>
        <w:tc>
          <w:tcPr/>
          <w:p w:rsidR="00000000" w:rsidDel="00000000" w:rsidP="00000000" w:rsidRDefault="00000000" w:rsidRPr="00000000" w14:paraId="000000B5">
            <w:pPr>
              <w:spacing w:after="0" w:before="0" w:line="480" w:lineRule="auto"/>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B7">
            <w:pPr>
              <w:spacing w:after="0" w:before="0" w:line="480" w:lineRule="auto"/>
              <w:rPr>
                <w:sz w:val="18"/>
                <w:szCs w:val="18"/>
              </w:rPr>
            </w:pPr>
            <w:r w:rsidDel="00000000" w:rsidR="00000000" w:rsidRPr="00000000">
              <w:rPr>
                <w:i w:val="0"/>
                <w:iCs w:val="0"/>
                <w:sz w:val="18"/>
                <w:szCs w:val="18"/>
                <w:rtl w:val="0"/>
              </w:rPr>
              <w:t xml:space="preserve">Clause-Level Hedges</w:t>
            </w:r>
            <w:r w:rsidDel="00000000" w:rsidR="00000000" w:rsidRPr="00000000">
              <w:rPr>
                <w:rtl w:val="0"/>
              </w:rPr>
            </w:r>
          </w:p>
        </w:tc>
        <w:tc>
          <w:tcPr/>
          <w:p w:rsidR="00000000" w:rsidDel="00000000" w:rsidP="00000000" w:rsidRDefault="00000000" w:rsidRPr="00000000" w14:paraId="000000B8">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BA">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0BB">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0BD">
      <w:pPr>
        <w:spacing w:after="0" w:before="240" w:line="480" w:lineRule="auto"/>
        <w:ind w:firstLine="720"/>
        <w:jc w:val="both"/>
        <w:rPr/>
      </w:pPr>
      <w:r>
        <w:rPr>
          <w:rFonts w:ascii="Georgia" w:hAnsi="Georgia" w:eastAsia="Georgia"/>
          <w:b w:val="0"/>
          <w:sz w:val="22"/>
        </w:rPr>
        <w:t>Table 3 presents the overall distribution of hedge types. Lexical hedges dominated the corpus with 42 instances, followed by modal verbs with 20 instances, and adverbial hedges with 3 instances. No clause-level hedges were identified in any of the 60 abstracts. The literature reports modal verbs as the most frequent hedge type in developing researchers' writing (Khunasathitchai et al., 2025; Wang, 2022). This corpus differs: lexical hedges outnumber modal verbs.</w:t>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Within the lexical hedge category, the token “potential” accounted for 19 of the 42 lexical instances,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23 against 20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p>
    <w:p w:rsidR="00000000" w:rsidDel="00000000" w:rsidP="00000000" w:rsidRDefault="00000000" w:rsidRPr="00000000" w14:paraId="000000BF">
      <w:pPr>
        <w:keepNext w:val="1"/>
        <w:pageBreakBefore w:val="0"/>
        <w:spacing w:after="0" w:before="240" w:line="480" w:lineRule="auto"/>
        <w:ind w:firstLine="0"/>
        <w:jc w:val="center"/>
        <w:rPr/>
      </w:pPr>
      <w:r>
        <w:rPr>
          <w:rFonts w:ascii="Georgia" w:hAnsi="Georgia" w:eastAsia="Georgia"/>
          <w:b/>
          <w:sz w:val="22"/>
        </w:rPr>
        <w:t>Table 4</w:t>
      </w:r>
    </w:p>
    <w:p w:rsidR="00000000" w:rsidDel="00000000" w:rsidP="00000000" w:rsidRDefault="00000000" w:rsidRPr="00000000" w14:paraId="000000C0">
      <w:pPr>
        <w:keepNext w:val="1"/>
        <w:spacing w:after="0" w:before="0" w:line="480" w:lineRule="auto"/>
        <w:jc w:val="center"/>
        <w:rPr/>
      </w:pPr>
      <w:r w:rsidDel="00000000" w:rsidR="00000000" w:rsidRPr="00000000">
        <w:rPr>
          <w:rtl w:val="0"/>
        </w:rPr>
        <w:t xml:space="preserve">Hedge Token Inventory by Form</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05">
      <w:pPr>
        <w:spacing w:after="0" w:before="120" w:line="480" w:lineRule="auto"/>
        <w:ind w:firstLine="720"/>
        <w:jc w:val="both"/>
        <w:rPr/>
      </w:pPr>
      <w:r>
        <w:rPr>
          <w:rFonts w:ascii="Georgia" w:hAnsi="Georgia" w:eastAsia="Georgia"/>
          <w:b w:val="0"/>
          <w:sz w:val="22"/>
        </w:rPr>
        <w:t>Table 4 lists every retained hedge form in the corpus with its grammatical type and count. Counts sum to 65. Surface forms of the same root are listed separately here so each tally line can be checked against the coding sheet.</w:t>
      </w:r>
    </w:p>
    <w:p w:rsidR="00000000" w:rsidDel="00000000" w:rsidP="00000000" w:rsidRDefault="00000000" w:rsidRPr="00000000" w14:paraId="00000106">
      <w:pPr>
        <w:spacing w:after="0" w:before="0" w:line="480" w:lineRule="auto"/>
        <w:ind w:firstLine="720"/>
        <w:jc w:val="both"/>
        <w:rPr/>
      </w:pPr>
      <w:r>
        <w:rPr>
          <w:rFonts w:ascii="Georgia" w:hAnsi="Georgia" w:eastAsia="Georgia"/>
          <w:b w:val="0"/>
          <w:sz w:val="22"/>
        </w:rPr>
        <w:t>The distribution of hedge types shows cross-disciplinary differences, most clearly in Veterinary Medicine’s small total and low modal share. Table 5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ind w:firstLine="0"/>
        <w:jc w:val="center"/>
        <w:rPr/>
      </w:pPr>
      <w:r>
        <w:rPr>
          <w:rFonts w:ascii="Georgia" w:hAnsi="Georgia" w:eastAsia="Georgia"/>
          <w:b/>
          <w:sz w:val="22"/>
        </w:rPr>
        <w:t>Table 5</w:t>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13</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14</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5</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20</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3</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2</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8</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20</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42</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3</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Pr>
          <w:rFonts w:ascii="Georgia" w:hAnsi="Georgia" w:eastAsia="Georgia"/>
          <w:b w:val="0"/>
          <w:sz w:val="22"/>
        </w:rPr>
        <w:t>Table 5 shows that Agriculture has a balanced type mix (13 modal verbs vs. 14 lexical hedges), while Biology is heavily lexical (20 of 28 hedges, with only 5 modal verbs). Veterinary Medicine, with only 10 total hedges, is also predominantly lexical (8 of 10). Agriculture is the only discipline in which modal verbs come close to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b w:val="0"/>
          <w:sz w:val="22"/>
        </w:rPr>
        <w:t>Alongside the 65 retained epistemic caution hedges (and no politeness/deference tokens), the corpus yielded 65 false positive tokens, hedge-like words that failed the claim condition or both removal checks at Step 2. Table 7 (Part III) places these totals side by side.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Georgia" w:hAnsi="Georgia" w:eastAsia="Georgia"/>
          <w:b w:val="0"/>
          <w:sz w:val="22"/>
        </w:rPr>
        <w:t>Cross-disciplinary comparison shows differences in hedge density, driven mainly by Veterinary Medicine’s lower rate. Table 6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Georgia"/>
          <w:b/>
          <w:sz w:val="22"/>
        </w:rPr>
        <w:t>Table 6</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Georgia" w:hAnsi="Georgia" w:eastAsia="Georgia"/>
          <w:b w:val="0"/>
          <w:sz w:val="22"/>
        </w:rPr>
        <w:t>Table 6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tl w:val="0"/>
        </w:rPr>
        <w:t xml:space="preserve">Veterinary Medicine's low density is more difficult to interpret. Many VM abstracts in this corpus reported clinical findings from animal studies (e.g., drug efficacy trials, disease detection, hematological profiling). Part IV tests the obvious explanation, that VM abstracts mostly report binary results, 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Georgia" w:hAnsi="Georgia" w:eastAsia="Georgia"/>
          <w:b w:val="0"/>
          <w:sz w:val="22"/>
        </w:rPr>
        <w:t>Table 7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b/>
          <w:sz w:val="22"/>
        </w:rPr>
        <w:t>Table 7</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b/>
          <w:sz w:val="22"/>
        </w:rPr>
        <w:t>Table 8</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Georgia" w:hAnsi="Georgia" w:eastAsia="Georgia"/>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8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Georgia" w:hAnsi="Georgia" w:eastAsia="Georgia"/>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6),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