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For writing instructors and thesis advisers at PSAU, the study provides an empirical baseline of how uncertainty is managed in the ratified abstracts of three applied life sciences programs. That baseline can support more targeted feedback than generic advice to “be cautious.”</w:t>
      </w:r>
      <w:r>
        <w:rPr>
          <w:b w:val="0"/>
          <w:bCs w:val="0"/>
          <w:rtl w:val="0"/>
        </w:rPr>
        <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Table 1 reports sub-program sample sizes (Crop Science n=10, Animal Science n=10), not hedge counts. No separate inferential comparison between sub-programs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sample and the likelihood of zero inflation. Frequency results are reported in the Results chapter.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With only 65 tokens across three groups and no correction for multiple tests, the p-values are fragile.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Under the Working Test, only tokens that produced an epistemic effect were retained as hedges. As a direct consequence of that screen, all 65 retained tokens were coded Epistemic Caution (EC). No instances of Politeness/Deference (P) or Discourse Organization (DO) were identified among coded hedges. Discourse connectors such as Hence, Thus, Therefore, and In conclusion appear in the corpus and are tagged (DO) in Appendix C; they organize research moves but do not qualify claims, so they are not counted as hedges. No politeness/deference devices were found. Table 5 presents the function distribution among tokens coded as hedges.</w:t>
      </w:r>
      <w:r>
        <w:rPr>
          <w:rFonts w:ascii="Georgia" w:cs="Georgia" w:eastAsia="Georgia" w:hAnsi="Georgia"/>
          <w:b w:val="0"/>
          <w:bCs w:val="0"/>
          <w:i w:val="0"/>
          <w:iCs w:val="0"/>
          <w:sz w:val="22"/>
          <w:szCs w:val="22"/>
          <w:rtl w:val="0"/>
          <w:color w:val="00B0F0"/>
        </w:rPr>
        <w:t/>
      </w:r>
      <w:r>
        <w:rPr>
          <w:rFonts w:ascii="Georgia" w:cs="Georgia" w:eastAsia="Georgia" w:hAnsi="Georgia"/>
          <w:b w:val="0"/>
          <w:bCs w:val="0"/>
          <w:i w:val="0"/>
          <w:iCs w:val="0"/>
          <w:sz w:val="22"/>
          <w:szCs w:val="22"/>
          <w:rtl w:val="0"/>
        </w:rPr>
        <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Parts I through III show three observable patterns in the ratified abstracts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The clearest contrast is Veterinary Medicine's lower hedge density and higher zero-hedge share (Part II). Agriculture and Biology are near-tied on density; the Agriculture-Biology difference is marginal and sensitive to Acs2, so it is not treated as a stable ranking. Descriptive notes only: Agriculture shows a near balance of modal and lexical hedges with tokens such as potential and suggests often in conclusion sentences; Biology's hedges are predominantly lexical, with potential sometimes in aim statements as topic-naming. Neither note is offered as a discipline-level profile. One hypothesis for VM's lower density—more binary or measured outcomes and more factive reporting verbs—fits some abstracts in this subset but was not tested against a comparison group and is not treated as established. Field norms, adviser practice, and outcome type remain unseparated. The defensible claim is that VM abstracts in this corpus hedge less; the cause remains unknown.</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Limited evidence of differentiation, mainly Veterinary Medicine. Agriculture’s edge over Biology is modest and outlier-sensitive. The data cannot separate field norms, adviser practice, and outcome type. Statistical evidence is exploratory (Kruskal-Wallis p = .033, no multiple-comparison correction) and the sample is small. The study provides a local baseline: VM abstracts in this corpus hedge less; the cause remains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