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b w:val="0"/>
          <w:i w:val="0"/>
          <w:sz w:val="22"/>
        </w:rPr>
        <w:t xml:space="preserve">Softening, </w:t>
      </w:r>
      <w:r>
        <w:rPr>
          <w:rFonts w:ascii="Georgia" w:hAnsi="Georgia" w:cs="Georgia" w:eastAsia="Georgia"/>
          <w:b w:val="0"/>
          <w:i w:val="0"/>
          <w:sz w:val="22"/>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w:t>
      </w:r>
      <w:r>
        <w:rPr>
          <w:rFonts w:ascii="Georgia" w:hAnsi="Georgia" w:cs="Georgia" w:eastAsia="Georgia"/>
          <w:b w:val="0"/>
          <w:i w:val="0"/>
          <w:sz w:val="22"/>
          <w:color w:val="000000"/>
        </w:rPr>
        <w:t>(DO)</w:t>
      </w:r>
      <w:r>
        <w:rPr>
          <w:rFonts w:ascii="Georgia" w:hAnsi="Georgia" w:cs="Georgia" w:eastAsia="Georgia"/>
          <w:b w:val="0"/>
          <w:i w:val="0"/>
          <w:sz w:val="22"/>
        </w:rPr>
        <w:t xml:space="preserve"> uses.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b w:val="0"/>
          <w:i w:val="0"/>
          <w:sz w:val="22"/>
          <w:color w:val="000000"/>
        </w:rPr>
        <w:t xml:space="preserve">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[G] them a weak, unsuitable material to use in building walkways. This study is essential for getting insights into eco-brick manufacture because the workability of SUPs and UCOs as raw materials is proven. The research findings do not apply to buildings. Therefore </w:t>
      </w:r>
      <w:r>
        <w:rPr>
          <w:rFonts w:ascii="Georgia" w:hAnsi="Georgia" w:cs="Georgia" w:eastAsia="Georgia"/>
          <w:b w:val="0"/>
          <w:i w:val="0"/>
          <w:sz w:val="22"/>
          <w:color w:val="8B4513"/>
        </w:rPr>
        <w:t>(DO)</w:t>
      </w:r>
      <w:r>
        <w:rPr>
          <w:rFonts w:ascii="Georgia" w:hAnsi="Georgia" w:cs="Georgia" w:eastAsia="Georgia"/>
          <w:b w:val="0"/>
          <w:i w:val="0"/>
          <w:sz w:val="22"/>
          <w:color w:val="000000"/>
        </w:rPr>
        <w:t>, further research will (FP-Gen)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b w:val="0"/>
          <w:i w:val="0"/>
          <w:sz w:val="22"/>
          <w:color w:val="000000"/>
        </w:rPr>
        <w:t xml:space="preserve">The study generally (FP-Proc)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suggesting (EC) that it affects early embryonic development and prevents the progression of other lethality markers, such as the absence of somite development, non-detachment of the tail, and absence of cardiac activity. Teratogenic effects on the body length of D. rerio hatchlings were observed, inferring (EC) that such observation was induced by the Z. talanai-infused nanozeolite pellet suspension. Hence </w:t>
      </w:r>
      <w:r>
        <w:rPr>
          <w:rFonts w:ascii="Georgia" w:hAnsi="Georgia" w:cs="Georgia" w:eastAsia="Georgia"/>
          <w:b w:val="0"/>
          <w:i w:val="0"/>
          <w:sz w:val="22"/>
          <w:color w:val="8B4513"/>
        </w:rPr>
        <w:t>(DO)</w:t>
      </w:r>
      <w:r>
        <w:rPr>
          <w:rFonts w:ascii="Georgia" w:hAnsi="Georgia" w:cs="Georgia" w:eastAsia="Georgia"/>
          <w:b w:val="0"/>
          <w:i w:val="0"/>
          <w:sz w:val="22"/>
          <w:color w:val="000000"/>
        </w:rPr>
        <w:t>, the biosynthesis of Z. talanai-infused nanozeolite pellets is feasible and may (EC)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b w:val="0"/>
          <w:i w:val="0"/>
          <w:sz w:val="22"/>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hAnsi="Georgia" w:cs="Georgia" w:eastAsia="Georgia"/>
          <w:b w:val="0"/>
          <w:i w:val="0"/>
          <w:sz w:val="22"/>
          <w:color w:val="8B4513"/>
        </w:rPr>
        <w:t>(DO)</w:t>
      </w:r>
      <w:r>
        <w:rPr>
          <w:rFonts w:ascii="Georgia" w:hAnsi="Georgia" w:cs="Georgia" w:eastAsia="Georgia"/>
          <w:b w:val="0"/>
          <w:i w:val="0"/>
          <w:sz w:val="22"/>
          <w:color w:val="000000"/>
        </w:rPr>
        <w:t>,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b w:val="0"/>
          <w:i w:val="0"/>
          <w:sz w:val="22"/>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hAnsi="Georgia" w:cs="Georgia" w:eastAsia="Georgia"/>
          <w:b w:val="0"/>
          <w:i w:val="0"/>
          <w:sz w:val="22"/>
          <w:color w:val="8B4513"/>
        </w:rPr>
        <w:t>(DO)</w:t>
      </w:r>
      <w:r>
        <w:rPr>
          <w:rFonts w:ascii="Georgia" w:hAnsi="Georgia" w:cs="Georgia" w:eastAsia="Georgia"/>
          <w:b w:val="0"/>
          <w:i w:val="0"/>
          <w:sz w:val="22"/>
          <w:color w:val="000000"/>
        </w:rPr>
        <w:t>,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[G] a comprehensive approach for diagnosing and studying mycobacteriosis in cultivated milkfish, offering insights that can (FP-Cap)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b w:val="0"/>
          <w:i w:val="0"/>
          <w:sz w:val="22"/>
          <w:color w:val="00000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hAnsi="Georgia" w:cs="Georgia" w:eastAsia="Georgia"/>
          <w:b w:val="0"/>
          <w:i w:val="0"/>
          <w:sz w:val="22"/>
          <w:color w:val="8B4513"/>
        </w:rPr>
        <w:t>(DO)</w:t>
      </w:r>
      <w:r>
        <w:rPr>
          <w:rFonts w:ascii="Georgia" w:hAnsi="Georgia" w:cs="Georgia" w:eastAsia="Georgia"/>
          <w:b w:val="0"/>
          <w:i w:val="0"/>
          <w:sz w:val="22"/>
          <w:color w:val="000000"/>
        </w:rPr>
        <w:t>,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[C]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b w:val="0"/>
          <w:i w:val="0"/>
          <w:sz w:val="22"/>
          <w:color w:val="00000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b w:val="0"/>
          <w:i w:val="0"/>
          <w:sz w:val="22"/>
          <w:color w:val="8B4513"/>
        </w:rPr>
        <w:t>(DO)</w:t>
      </w:r>
      <w:r>
        <w:rPr>
          <w:rFonts w:ascii="Georgia" w:hAnsi="Georgia" w:cs="Georgia" w:eastAsia="Georgia"/>
          <w:b w:val="0"/>
          <w:i w:val="0"/>
          <w:sz w:val="22"/>
          <w:color w:val="000000"/>
        </w:rPr>
        <w:t>,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b w:val="0"/>
          <w:i w:val="0"/>
          <w:sz w:val="22"/>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sustainable planning and management approaches should (FP-Rec)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hAnsi="Georgia" w:cs="Georgia" w:eastAsia="Georgia"/>
          <w:b w:val="0"/>
          <w:i w:val="0"/>
          <w:sz w:val="22"/>
          <w:color w:val="8B4513"/>
        </w:rPr>
        <w:t>(DO)</w:t>
      </w:r>
      <w:r>
        <w:rPr>
          <w:rFonts w:ascii="Georgia" w:hAnsi="Georgia" w:cs="Georgia" w:eastAsia="Georgia"/>
          <w:b w:val="0"/>
          <w:i w:val="0"/>
          <w:sz w:val="22"/>
          <w:color w:val="000000"/>
        </w:rPr>
        <w:t>, local government should (FP-Rec) address the possible (EC)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b w:val="0"/>
          <w:i w:val="0"/>
          <w:sz w:val="22"/>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hAnsi="Georgia" w:cs="Georgia" w:eastAsia="Georgia"/>
          <w:b w:val="0"/>
          <w:i w:val="0"/>
          <w:sz w:val="22"/>
          <w:color w:val="8B4513"/>
        </w:rPr>
        <w:t>(DO)</w:t>
      </w:r>
      <w:r>
        <w:rPr>
          <w:rFonts w:ascii="Georgia" w:hAnsi="Georgia" w:cs="Georgia" w:eastAsia="Georgia"/>
          <w:b w:val="0"/>
          <w:i w:val="0"/>
          <w:sz w:val="22"/>
          <w:color w:val="000000"/>
        </w:rPr>
        <w:t xml:space="preserve">, this study aims to examine the potential (FP-Gen)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hAnsi="Georgia" w:cs="Georgia" w:eastAsia="Georgia"/>
          <w:b w:val="0"/>
          <w:i w:val="0"/>
          <w:sz w:val="22"/>
          <w:color w:val="8B4513"/>
        </w:rPr>
        <w:t>(DO)</w:t>
      </w:r>
      <w:r>
        <w:rPr>
          <w:rFonts w:ascii="Georgia" w:hAnsi="Georgia" w:cs="Georgia" w:eastAsia="Georgia"/>
          <w:b w:val="0"/>
          <w:i w:val="0"/>
          <w:sz w:val="22"/>
          <w:color w:val="000000"/>
        </w:rPr>
        <w:t>, the study aimed to investigate the antagonistic potential (FP-Gen) of Trichoderma harzianum among the four isolates. The results indicate (FP-Gen) that the mean effect of Trichoderma harzianum on the test variables varied across the three days of observation. However, there was no significant difference in the effect of Trichoderma harzianum among the test variables on any of the three days, suggesting (EC)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b w:val="0"/>
          <w:i w:val="0"/>
          <w:sz w:val="22"/>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hAnsi="Georgia" w:cs="Georgia" w:eastAsia="Georgia"/>
          <w:b w:val="0"/>
          <w:i w:val="0"/>
          <w:sz w:val="22"/>
          <w:color w:val="8B4513"/>
        </w:rPr>
        <w:t>(DO)</w:t>
      </w:r>
      <w:r>
        <w:rPr>
          <w:rFonts w:ascii="Georgia" w:hAnsi="Georgia" w:cs="Georgia" w:eastAsia="Georgia"/>
          <w:b w:val="0"/>
          <w:i w:val="0"/>
          <w:sz w:val="22"/>
          <w:color w:val="000000"/>
        </w:rPr>
        <w:t>, no significant association between clinical signs and heartworm infection could (EC)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can (FP-Gen) collectively contribute to the effective management and prevention of heartworm disease in the local canine population. Further research with larger sample sizes and diverse populations is needed (FP-Rec)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b w:val="0"/>
          <w:i w:val="0"/>
          <w:sz w:val="22"/>
          <w:color w:val="00000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hAnsi="Georgia" w:cs="Georgia" w:eastAsia="Georgia"/>
          <w:b w:val="0"/>
          <w:i w:val="0"/>
          <w:sz w:val="22"/>
          <w:color w:val="8B4513"/>
        </w:rPr>
        <w:t>(DO)</w:t>
      </w:r>
      <w:r>
        <w:rPr>
          <w:rFonts w:ascii="Georgia" w:hAnsi="Georgia" w:cs="Georgia" w:eastAsia="Georgia"/>
          <w:b w:val="0"/>
          <w:i w:val="0"/>
          <w:sz w:val="22"/>
          <w:color w:val="000000"/>
        </w:rPr>
        <w:t>,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were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b w:val="0"/>
          <w:i w:val="0"/>
          <w:sz w:val="22"/>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hAnsi="Georgia" w:cs="Georgia" w:eastAsia="Georgia"/>
          <w:b w:val="0"/>
          <w:i w:val="0"/>
          <w:sz w:val="22"/>
          <w:color w:val="8B4513"/>
        </w:rPr>
        <w:t>(DO)</w:t>
      </w:r>
      <w:r>
        <w:rPr>
          <w:rFonts w:ascii="Georgia" w:hAnsi="Georgia" w:cs="Georgia" w:eastAsia="Georgia"/>
          <w:b w:val="0"/>
          <w:i w:val="0"/>
          <w:sz w:val="22"/>
          <w:color w:val="000000"/>
        </w:rPr>
        <w:t>,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might (EC) be effective in preventing, controlling, and managing the spread of ASF, but it is not conclusive that ASF is not present in the municipality of [REDACTED]. Nevertheless, it is recommended (FP-Rec)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b w:val="0"/>
          <w:i w:val="0"/>
          <w:sz w:val="22"/>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the number of rooted cuttings obtained by application of aloe vera gel and moringa leaf extract was comparable in percentage survival with that obtained by application of water (distilled or filtered water) on monstera cuttings. Most can (EC) survive the water treatment application but may (EC) not establish roots and die after several days. However, it can (FP-Cap)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b w:val="0"/>
          <w:i w:val="0"/>
          <w:sz w:val="22"/>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hAnsi="Georgia" w:cs="Georgia" w:eastAsia="Georgia"/>
          <w:b w:val="0"/>
          <w:i w:val="0"/>
          <w:sz w:val="22"/>
          <w:color w:val="8B4513"/>
        </w:rPr>
        <w:t>(DO)</w:t>
      </w:r>
      <w:r>
        <w:rPr>
          <w:rFonts w:ascii="Georgia" w:hAnsi="Georgia" w:cs="Georgia" w:eastAsia="Georgia"/>
          <w:b w:val="0"/>
          <w:i w:val="0"/>
          <w:sz w:val="22"/>
          <w:color w:val="000000"/>
        </w:rPr>
        <w:t>, the application of seaweed extract as a bio stimulant did not significantly enhance the growth and yield of sweet potato. However, the negative control can (FP-Cap)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b w:val="0"/>
          <w:i w:val="0"/>
          <w:sz w:val="22"/>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b w:val="0"/>
          <w:i w:val="0"/>
          <w:sz w:val="22"/>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T3: NPK+14-14-14 was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b w:val="0"/>
          <w:i w:val="0"/>
          <w:sz w:val="22"/>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implies (EC)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proved the treatment 1(100% CF) are the most efficient compared to treatment 2 where 50% commercial feeds and 50% rice bran mixed with water spinach and treatment 3 where 50% commercial feeds and 50% rice bran mixed with golden apple snail. It can (EC) also be concluded that D1 rice bran mixed with water spinach and with golden apple snail used in the study can (FP-Cap)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was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b w:val="0"/>
          <w:i w:val="0"/>
          <w:sz w:val="22"/>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all treatments are comparable in terms of growth, implying (EC) that Fermented Madre de Agua is a viable feed component under these conditions. Feeding 20% fermented Madre De Agua may (EC) improve final weight, while feeding 10% fermented Madre De Agua may (EC)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b w:val="0"/>
          <w:i w:val="0"/>
          <w:sz w:val="22"/>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w:t>
      </w:r>
      <w:r>
        <w:rPr>
          <w:rFonts w:ascii="Georgia" w:hAnsi="Georgia" w:cs="Georgia" w:eastAsia="Georgia"/>
          <w:b w:val="0"/>
          <w:i w:val="0"/>
          <w:sz w:val="22"/>
          <w:color w:val="8B4513"/>
        </w:rPr>
        <w:t>(DO)</w:t>
      </w:r>
      <w:r>
        <w:rPr>
          <w:rFonts w:ascii="Georgia" w:hAnsi="Georgia" w:cs="Georgia" w:eastAsia="Georgia"/>
          <w:b w:val="0"/>
          <w:i w:val="0"/>
          <w:sz w:val="22"/>
          <w:color w:val="000000"/>
        </w:rPr>
        <w:t>, it is recommended (FP-Rec)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b w:val="0"/>
          <w:i w:val="0"/>
          <w:sz w:val="22"/>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hAnsi="Georgia" w:cs="Georgia" w:eastAsia="Georgia"/>
          <w:b w:val="0"/>
          <w:i w:val="0"/>
          <w:sz w:val="22"/>
          <w:color w:val="8B4513"/>
        </w:rPr>
        <w:t>(DO)</w:t>
      </w:r>
      <w:r>
        <w:rPr>
          <w:rFonts w:ascii="Georgia" w:hAnsi="Georgia" w:cs="Georgia" w:eastAsia="Georgia"/>
          <w:b w:val="0"/>
          <w:i w:val="0"/>
          <w:sz w:val="22"/>
          <w:color w:val="000000"/>
        </w:rPr>
        <w:t>, based on the results, it can (EC)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recommended (FP-Rec)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potential (EC) as an alternative feed ration for rabbits without adverse effects, and considering that azolla can (FP-Cap)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