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 xml:space="preserve">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among developing researchers?</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 xml:space="preserve">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r>
        <w:rPr>
          <w:rtl w:val="0"/>
        </w:rPr>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b w:val="1"/>
          <w:bCs w:val="1"/>
          <w:rtl w:val="0"/>
        </w:rPr>
        <w:t xml:space="preserve">For writing instructors and thesis advisers at PSAU,</w:t>
      </w:r>
      <w:r>
        <w:rPr>
          <w:b w:val="0"/>
          <w:bCs w:val="0"/>
          <w:rtl w:val="0"/>
        </w:rPr>
        <w:t xml:space="preserve"> the study provides an empirical baseline of how developing researchers in three applied life sciences programs currently manage uncertainty in abstracts. That baseline can support more targeted feedback than generic advice to “be cautious.”</w:t>
      </w:r>
      <w:r>
        <w:rPr>
          <w:rtl w:val="0"/>
        </w:rPr>
      </w:r>
    </w:p>
    <w:p w:rsidR="00000000" w:rsidDel="00000000" w:rsidP="00000000" w:rsidRDefault="00000000" w:rsidRPr="00000000" w14:paraId="00000058">
      <w:pPr>
        <w:spacing w:before="0" w:after="0" w:line="480" w:lineRule="auto"/>
        <w:ind w:firstLine="720"/>
        <w:jc w:val="both"/>
        <w:rPr/>
      </w:pPr>
      <w:r>
        <w:rPr>
          <w:b w:val="1"/>
          <w:bCs w:val="1"/>
          <w:rtl w:val="0"/>
        </w:rPr>
        <w:t xml:space="preserve">For academic writing researchers,</w:t>
      </w:r>
      <w:r>
        <w:rPr>
          <w:b w:val="0"/>
          <w:bCs w:val="0"/>
          <w:rtl w:val="0"/>
        </w:rPr>
        <w:t xml:space="preserve"> it adds Philippine applied-science abstract data to a body of work that has drawn mainly from other regional and disciplinary settings.</w:t>
      </w:r>
      <w:r>
        <w:rPr>
          <w:rtl w:val="0"/>
        </w:rPr>
      </w:r>
    </w:p>
    <w:p w:rsidR="00000000" w:rsidDel="00000000" w:rsidP="00000000" w:rsidRDefault="00000000" w:rsidRPr="00000000" w14:paraId="00000059">
      <w:pPr>
        <w:spacing w:before="0" w:after="0" w:line="480" w:lineRule="auto"/>
        <w:ind w:firstLine="720"/>
        <w:jc w:val="both"/>
        <w:rPr/>
      </w:pPr>
      <w:r>
        <w:rPr>
          <w:b w:val="1"/>
          <w:bCs w:val="1"/>
          <w:rtl w:val="0"/>
        </w:rPr>
        <w:t xml:space="preserve">For the BAELS program,</w:t>
      </w:r>
      <w:r>
        <w:rPr>
          <w:b w:val="0"/>
          <w:bCs w:val="0"/>
          <w:rtl w:val="0"/>
        </w:rPr>
        <w:t xml:space="preserve"> 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5A">
      <w:pPr>
        <w:spacing w:before="0" w:after="0" w:line="480" w:lineRule="auto"/>
        <w:ind w:firstLine="720"/>
        <w:jc w:val="both"/>
        <w:rPr/>
      </w:pPr>
      <w:r>
        <w:rPr>
          <w:b w:val="1"/>
          <w:bCs w:val="1"/>
          <w:rtl w:val="0"/>
        </w:rPr>
        <w:t xml:space="preserve">For future researchers,</w:t>
      </w:r>
      <w:r>
        <w:rPr>
          <w:b w:val="0"/>
          <w:bCs w:val="0"/>
          <w:rtl w:val="0"/>
        </w:rPr>
        <w:t xml:space="preserve"> the sampling design, coding decision rules, and false-positive log offer a replicable protocol for similar corpus studies.</w:t>
      </w:r>
      <w:r>
        <w:rPr>
          <w:rtl w:val="0"/>
        </w:rPr>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 xml:space="preserve">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41.7%,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25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65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before="0" w:after="0" w:line="480" w:lineRule="auto"/>
        <w:ind w:firstLine="720"/>
        <w:jc w:val="both"/>
        <w:rPr/>
      </w:pPr>
      <w:r>
        <w:rPr>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Pro Forma Hedging, </w:t>
      </w:r>
      <w:r>
        <w:rPr>
          <w:rFonts w:ascii="Georgia" w:cs="Georgia" w:eastAsia="Georgia" w:hAnsi="Georgia"/>
          <w:b w:val="0"/>
          <w:bCs w:val="0"/>
          <w:i w:val="0"/>
          <w:iCs w:val="0"/>
          <w:sz w:val="22"/>
          <w:szCs w:val="22"/>
          <w:rtl w:val="0"/>
        </w:rPr>
        <w:t xml:space="preserve">conceptually, pro forma hedging refers to the deployment of hedge-like lexical items (e.g., potential) in formulaic syntactic frames with limited commitment calibration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cs="Georgia" w:eastAsia="Georgia" w:hAnsi="Georgia"/>
          <w:b w:val="1"/>
          <w:bCs w:val="1"/>
          <w:i w:val="0"/>
          <w:iCs w:val="0"/>
          <w:sz w:val="22"/>
          <w:szCs w:val="22"/>
          <w:rtl w:val="0"/>
        </w:rPr>
        <w:t xml:space="preserve">a. Requesting Permission. </w:t>
      </w:r>
      <w:r>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cs="Georgia" w:eastAsia="Georgia" w:hAnsi="Georgia"/>
          <w:b w:val="1"/>
          <w:bCs w:val="1"/>
          <w:i w:val="0"/>
          <w:iCs w:val="0"/>
          <w:sz w:val="22"/>
          <w:szCs w:val="22"/>
          <w:rtl w:val="0"/>
        </w:rPr>
        <w:t xml:space="preserve">b. Corpus Construction. </w:t>
      </w:r>
      <w:r>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cs="Georgia" w:eastAsia="Georgia" w:hAnsi="Georgia"/>
          <w:b w:val="1"/>
          <w:bCs w:val="1"/>
          <w:i w:val="0"/>
          <w:iCs w:val="0"/>
          <w:sz w:val="22"/>
          <w:szCs w:val="22"/>
          <w:rtl w:val="0"/>
        </w:rPr>
        <w:t xml:space="preserve">c. Text Extraction. </w:t>
      </w:r>
      <w:r>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cs="Georgia" w:eastAsia="Georgia" w:hAnsi="Georgia"/>
          <w:b w:val="1"/>
          <w:bCs w:val="1"/>
          <w:i w:val="0"/>
          <w:iCs w:val="0"/>
          <w:sz w:val="22"/>
          <w:szCs w:val="22"/>
          <w:rtl w:val="0"/>
        </w:rPr>
        <w:t xml:space="preserve">d. Pilot Testing and Reliability Checking. </w:t>
      </w:r>
      <w:r>
        <w:rPr>
          <w:rFonts w:ascii="Georgia" w:cs="Georgia" w:eastAsia="Georgia" w:hAnsi="Georgia"/>
          <w:b w:val="0"/>
          <w:bCs w:val="0"/>
          <w:i w:val="0"/>
          <w:iCs w:val="0"/>
          <w:sz w:val="22"/>
          <w:szCs w:val="22"/>
          <w:rtl w:val="0"/>
        </w:rPr>
        <w:t xml:space="preserve">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cs="Georgia" w:eastAsia="Georgia" w:hAnsi="Georgia"/>
          <w:b w:val="1"/>
          <w:bCs w:val="1"/>
          <w:i w:val="0"/>
          <w:iCs w:val="0"/>
          <w:sz w:val="22"/>
          <w:szCs w:val="22"/>
          <w:rtl w:val="0"/>
        </w:rPr>
        <w:t xml:space="preserve">e. Data Analysis. </w:t>
      </w:r>
      <w:r>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results and conclusion frames that qualify a finding-claim are coded Lexical EC. The Working Test is applied as a secondary check: when removing the token clearly changes commitment to a proposition (e.g., "presence of potential mycobacterial infections" → "presence of mycobacterial infections"), the token is coded Lexical EC even in an aim or rationale sentence.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center"/>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1"/>
          <w:bCs w:val="1"/>
          <w:i w:val="0"/>
          <w:iCs w:val="0"/>
          <w:sz w:val="22"/>
          <w:szCs w:val="22"/>
          <w:rtl w:val="0"/>
        </w:rPr>
        <w:t xml:space="preserve">Inclusion Criteria. </w:t>
      </w:r>
      <w:r>
        <w:rPr>
          <w:rFonts w:ascii="Georgia" w:cs="Georgia" w:eastAsia="Georgia" w:hAnsi="Georgia"/>
          <w:b w:val="0"/>
          <w:bCs w:val="0"/>
          <w:i w:val="0"/>
          <w:iCs w:val="0"/>
          <w:sz w:val="22"/>
          <w:szCs w:val="22"/>
          <w:rtl w:val="0"/>
        </w:rPr>
        <w:t xml:space="preserve">English-language undergraduate thesis abstracts; complete abstracts available in the PSAU library archives; clear disciplinary classification based on official degree program; thesis completion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1"/>
          <w:bCs w:val="1"/>
          <w:i w:val="0"/>
          <w:iCs w:val="0"/>
          <w:sz w:val="22"/>
          <w:szCs w:val="22"/>
          <w:rtl w:val="0"/>
        </w:rPr>
        <w:t xml:space="preserve">Exclusion Criteria. </w:t>
      </w:r>
      <w:r>
        <w:rPr>
          <w:rFonts w:ascii="Georgia" w:cs="Georgia" w:eastAsia="Georgia" w:hAnsi="Georgia"/>
          <w:b w:val="0"/>
          <w:bCs w:val="0"/>
          <w:i w:val="0"/>
          <w:iCs w:val="0"/>
          <w:sz w:val="22"/>
          <w:szCs w:val="22"/>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completed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Ethical Considerations. </w:t>
      </w:r>
      <w:r>
        <w:rPr>
          <w:rFonts w:ascii="Georgia" w:cs="Georgia" w:eastAsia="Georgia" w:hAnsi="Georgia"/>
          <w:b w:val="0"/>
          <w:bCs w:val="0"/>
          <w:i w:val="0"/>
          <w:iCs w:val="0"/>
          <w:sz w:val="22"/>
          <w:szCs w:val="22"/>
          <w:rtl w:val="0"/>
        </w:rPr>
        <w:t xml:space="preserve">Abstracts were accessed on-site at the PSAU Library with proper authorization. Student names and thesis titles were fully anonymized using discipline codes (Acs1–Acs10, Aas1–Aas10,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center"/>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included “suggests” (7), “indicating” (6), and “suggesting” (3). Modal verbs were led by “can” (9), “could” (7), and “may” (6). Concordance of the 19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15 of the 19 instances; Veterinary Medicine for 4.</w:t>
      </w:r>
      <w:r>
        <w:rPr>
          <w:rtl w:val="0"/>
        </w:rPr>
      </w:r>
    </w:p>
    <w:p w:rsidR="00000000" w:rsidDel="00000000" w:rsidP="00000000" w:rsidRDefault="00000000" w:rsidRPr="00000000" w14:paraId="000000E3">
      <w:pPr>
        <w:spacing w:before="0" w:after="0" w:line="480" w:lineRule="auto"/>
        <w:ind w:firstLine="720"/>
        <w:jc w:val="both"/>
        <w:rPr/>
      </w:pPr>
      <w:r>
        <w:rPr>
          <w:rFonts w:ascii="Georgia" w:cs="Georgia" w:eastAsia="Georgia" w:hAnsi="Georgia"/>
          <w:b w:val="0"/>
          <w:bCs w:val="0"/>
          <w:i w:val="0"/>
          <w:iCs w:val="0"/>
          <w:sz w:val="22"/>
          <w:szCs w:val="22"/>
          <w:rtl w:val="0"/>
        </w:rPr>
        <w:t xml:space="preserve">The distribution of hedge types also varies meaningfully across disciplines. Table 3 presents the per-discipline breakdown of hedge types.</w:t>
      </w:r>
      <w:r>
        <w:rPr>
          <w:rtl w:val="0"/>
        </w:rPr>
      </w:r>
    </w:p>
    <w:p>
      <w:pPr>
        <w:keepNext w:val="1"/>
        <w:keepLines w:val="1"/>
        <w:spacing w:before="720" w:after="0" w:line="480" w:lineRule="auto"/>
        <w:jc w:val="center"/>
      </w:pPr>
      <w:r>
        <w:rPr>
          <w:rFonts w:ascii="Georgia" w:hAnsi="Georgia"/>
          <w:b/>
          <w:sz w:val="24"/>
        </w:rPr>
        <w:t>Table 3</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cs="Georgia" w:eastAsia="Georgia" w:hAnsi="Georgia"/>
          <w:b w:val="0"/>
          <w:bCs w:val="0"/>
          <w:i w:val="0"/>
          <w:iCs w:val="0"/>
          <w:sz w:val="22"/>
          <w:szCs w:val="22"/>
          <w:rtl w:val="0"/>
        </w:rPr>
        <w:t xml:space="preserve">Table 3 reveals that Agriculture has a nearly balanced distribution (14 modal verbs, 51.9% vs. 13 lexical hedges, 48.1%), while Biology is heavily lexical (20 of 28 hedges, 71.4%, with only 5 modal verbs). Veterinary Medicine, with only 10 total hedges, is also predominantly lexical (8 of 10, 80.0%).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r>
        <w:rPr>
          <w:rtl w:val="0"/>
        </w:rPr>
      </w:r>
    </w:p>
    <w:p w:rsidR="00000000" w:rsidDel="00000000" w:rsidP="00000000" w:rsidRDefault="00000000" w:rsidRPr="00000000" w14:paraId="0000010B">
      <w:pPr>
        <w:spacing w:before="0" w:after="0" w:line="480" w:lineRule="auto"/>
        <w:ind w:firstLine="720"/>
        <w:jc w:val="both"/>
        <w:rPr/>
      </w:pPr>
      <w:r>
        <w:rPr>
          <w:rFonts w:ascii="Georgia" w:cs="Georgia" w:eastAsia="Georgia" w:hAnsi="Georgia"/>
          <w:b w:val="0"/>
          <w:bCs w:val="0"/>
          <w:i w:val="0"/>
          <w:iCs w:val="0"/>
          <w:sz w:val="22"/>
          <w:szCs w:val="22"/>
          <w:rtl w:val="0"/>
        </w:rPr>
        <w:t xml:space="preserve">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after applying the codebook’s Working Test.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the Working Test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cs="Georgia" w:eastAsia="Georgia" w:hAnsi="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and are excluded from this zero-hedge count.)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41.7% zero-hedge rate in this corpus a sharp departure from expert norms.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Booster analysis of the 25 zero-hedge abstracts revealed 79 booster tokens, averaging approximately 3.2 boosters per abstract. The most frequent boosters were showed (19 instances), highest (13), revealed (12), and observed (12). This density of assertive markers confirms that zero-hedge abstracts do not represent neutral reporting but rather an absence of overt hedging, where findings are stated with emphatic rather than tentative language.</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cs="Georgia" w:eastAsia="Georgia" w:hAnsi="Georgia"/>
          <w:b w:val="0"/>
          <w:bCs w:val="0"/>
          <w:i w:val="0"/>
          <w:iCs w:val="0"/>
          <w:sz w:val="22"/>
          <w:szCs w:val="22"/>
          <w:rtl w:val="0"/>
        </w:rPr>
        <w:t xml:space="preserve">Cross-disciplinary comparison reveals substantial variation in hedge density. Table 4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 xml:space="preserve">L3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4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ungsuh" w:cs="Gungsuh" w:eastAsia="Gungsuh" w:hAnsi="Gungsuh"/>
          <w:b w:val="0"/>
          <w:bCs w:val="0"/>
          <w:i w:val="0"/>
          <w:iCs w:val="0"/>
          <w:sz w:val="22"/>
          <w:szCs w:val="22"/>
          <w:rtl w:val="0"/>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counts yielded H ≈ 6.84, p ≈ .033. Given the small sample size and zero-inflated distribution, this result is treated as exploratory rather than as confirmatory evidence of a disciplinary difference. A sensitivity check that removes all 19 instances of "potential" leaves 46 hedges; the Kruskal-Wallis contrast remains significant in the same direction (approximately p ≈ .025), and Veterinary Medicine’s zero-hedge share rises further. The directional pattern is therefore not an artifact of the "potential" tokens alone.</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All 65 hedge tokens in the corpus served the function of Epistemic Caution (EC). No instances of Politeness/Deference (P) or Discourse Organization (DO) were identified. Table 5 presents the function distribution.</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center"/>
      </w:pPr>
      <w:r>
        <w:rPr>
          <w:rFonts w:ascii="Georgia" w:hAnsi="Georgia"/>
          <w:sz w:val="24"/>
        </w:rPr>
        <w:t>Hedge Function Distribution</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tl w:val="0"/>
        </w:rPr>
        <w:t xml:space="preserve">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IV: DISCIPLINE-SPECIFIC HEDGING PROFILES</w:t>
      </w:r>
      <w:r>
        <w:rPr>
          <w:rtl w:val="0"/>
        </w:rPr>
      </w:r>
    </w:p>
    <w:p w:rsidR="00000000" w:rsidDel="00000000" w:rsidP="00000000" w:rsidRDefault="00000000" w:rsidRPr="00000000" w14:paraId="00000160">
      <w:pPr>
        <w:spacing w:before="0" w:after="0" w:line="480" w:lineRule="auto"/>
        <w:ind w:firstLine="720"/>
        <w:jc w:val="both"/>
        <w:rPr/>
      </w:pPr>
      <w:r>
        <w:rPr>
          <w:rFonts w:ascii="Gungsuh" w:cs="Gungsuh" w:eastAsia="Gungsuh" w:hAnsi="Gungsuh"/>
          <w:rtl w:val="0"/>
        </w:rPr>
        <w:t xml:space="preserve">Parts I through III show three observable patterns in this corpus. As reported in Part II, an exploratory Kruskal-Wallis test reached p ≈ .033; the chi-square on zero-hedge rates was p = .079,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rsidR="00000000" w:rsidDel="00000000" w:rsidP="00000000" w:rsidRDefault="00000000" w:rsidRPr="00000000" w14:paraId="00000161">
      <w:pPr>
        <w:spacing w:before="0" w:after="0" w:line="480" w:lineRule="auto"/>
        <w:ind w:firstLine="720"/>
        <w:jc w:val="both"/>
        <w:rPr/>
      </w:pPr>
      <w:r>
        <w:rPr>
          <w:rtl w:val="0"/>
        </w:rPr>
        <w:t xml:space="preserve">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rsidR="00000000" w:rsidDel="00000000" w:rsidP="00000000" w:rsidRDefault="00000000" w:rsidRPr="00000000" w14:paraId="00000162">
      <w:pPr>
        <w:spacing w:before="0" w:after="0" w:line="480" w:lineRule="auto"/>
        <w:ind w:firstLine="720"/>
        <w:jc w:val="both"/>
        <w:rPr/>
      </w:pPr>
      <w:r>
        <w:rPr>
          <w:rFonts w:ascii="Georgia" w:cs="Georgia" w:eastAsia="Georgia" w:hAnsi="Georgia"/>
          <w:b w:val="0"/>
          <w:bCs w:val="0"/>
          <w:i w:val="0"/>
          <w:iCs w:val="0"/>
          <w:sz w:val="22"/>
          <w:szCs w:val="22"/>
          <w:rtl w:val="0"/>
        </w:rPr>
        <w:t xml:space="preserve">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r>
        <w:rPr>
          <w:rtl w:val="0"/>
        </w:rPr>
      </w:r>
    </w:p>
    <w:p w:rsidR="00000000" w:rsidDel="00000000" w:rsidP="00000000" w:rsidRDefault="00000000" w:rsidRPr="00000000" w14:paraId="0000016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r>
        <w:rPr>
          <w:rtl w:val="0"/>
        </w:rPr>
      </w:r>
    </w:p>
    <w:p w:rsidR="00000000" w:rsidDel="00000000" w:rsidP="00000000" w:rsidRDefault="00000000" w:rsidRPr="00000000" w14:paraId="00000164">
      <w:pPr>
        <w:spacing w:before="0" w:after="0" w:line="480" w:lineRule="auto"/>
        <w:ind w:firstLine="720"/>
        <w:jc w:val="both"/>
        <w:rPr/>
      </w:pPr>
      <w:r>
        <w:rPr>
          <w:rFonts w:ascii="Georgia" w:cs="Georgia" w:eastAsia="Georgia" w:hAnsi="Georgia"/>
          <w:b w:val="0"/>
          <w:bCs w:val="0"/>
          <w:i w:val="0"/>
          <w:iCs w:val="0"/>
          <w:sz w:val="22"/>
          <w:szCs w:val="22"/>
          <w:rtl w:val="0"/>
        </w:rPr>
        <w:t xml:space="preserve">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r>
        <w:rPr>
          <w:rtl w:val="0"/>
        </w:rPr>
      </w:r>
    </w:p>
    <w:p w:rsidR="00000000" w:rsidDel="00000000" w:rsidP="00000000" w:rsidRDefault="00000000" w:rsidRPr="00000000" w14:paraId="00000165">
      <w:pPr>
        <w:spacing w:before="0" w:after="0" w:line="480" w:lineRule="auto"/>
        <w:ind w:firstLine="720"/>
        <w:jc w:val="both"/>
        <w:rPr/>
      </w:pPr>
      <w:r>
        <w:rPr>
          <w:rFonts w:ascii="Georgia" w:cs="Georgia" w:eastAsia="Georgia" w:hAnsi="Georgia"/>
          <w:b w:val="0"/>
          <w:bCs w:val="0"/>
          <w:i w:val="0"/>
          <w:iCs w:val="0"/>
          <w:sz w:val="22"/>
          <w:szCs w:val="22"/>
          <w:rtl w:val="0"/>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tl w:val="0"/>
        </w:rPr>
      </w:r>
    </w:p>
    <w:p w:rsidR="00000000" w:rsidDel="00000000" w:rsidP="00000000" w:rsidRDefault="00000000" w:rsidRPr="00000000" w14:paraId="00000166">
      <w:pPr>
        <w:spacing w:before="0" w:after="0" w:line="480" w:lineRule="auto"/>
        <w:ind w:firstLine="720"/>
        <w:jc w:val="both"/>
        <w:rPr/>
      </w:pPr>
      <w:r>
        <w:rPr>
          <w:rFonts w:ascii="Georgia" w:cs="Georgia" w:eastAsia="Georgia" w:hAnsi="Georgia"/>
          <w:b w:val="0"/>
          <w:bCs w:val="0"/>
          <w:i w:val="0"/>
          <w:iCs w:val="0"/>
          <w:sz w:val="22"/>
          <w:szCs w:val="22"/>
          <w:rtl w:val="0"/>
        </w:rPr>
        <w:t xml:space="preserve">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r>
        <w:rPr>
          <w:rtl w:val="0"/>
        </w:rPr>
      </w:r>
    </w:p>
    <w:p w:rsidR="00000000" w:rsidDel="00000000" w:rsidP="00000000" w:rsidRDefault="00000000" w:rsidRPr="00000000" w14:paraId="00000167">
      <w:pPr>
        <w:spacing w:before="0" w:after="0" w:line="480" w:lineRule="auto"/>
        <w:ind w:firstLine="720"/>
        <w:jc w:val="both"/>
        <w:rPr/>
      </w:pPr>
      <w:r>
        <w:rPr>
          <w:rtl w:val="0"/>
        </w:rPr>
        <w:t xml:space="preserve">Three observations support a descriptive label of pro forma hedging, not a confirmed construct: (1) potential accounts for a large share of lexical hedges and recurs in near-identical frames (Part I); (2) all retained hedges serve a single function (Part III); (3) 25 of 60 abstracts contain no hedges at all (Part II). These tokens are counted as hedges by form, position, and Working Test. “Pro forma” describes how they behave in the corpus (formulaic frames, single function, limited commitment calibration), not a claim that they fail the Working Test or should be excluded from density.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formulaic potential. Density is highest in Agriculture and Biology (near-tied), then Veterinary Medicine, with 25 of 60 abstracts (41.7%) containing no coded hedges. Every retained hedge was coded as Epistemic Caution.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ungsuh" w:cs="Gungsuh" w:eastAsia="Gungsuh" w:hAnsi="Gungsuh"/>
          <w:b w:val="0"/>
          <w:bCs w:val="0"/>
          <w:i w:val="0"/>
          <w:iCs w:val="0"/>
          <w:sz w:val="22"/>
          <w:szCs w:val="22"/>
          <w:rtl w:val="0"/>
        </w:rPr>
        <w:t xml:space="preserve">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exploratory (Kruskal-Wallis p ≈ .033) and the sample is small. The study provides a local baseline, not a general law.</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 xml:space="preserve">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whether the disciplinary patterns observed in this study persist across multiple institutions and </w:t>
      </w:r>
      <w:r>
        <w:rPr>
          <w:rtl w:val="0"/>
        </w:rPr>
        <w:t xml:space="preserve">groups</w:t>
      </w:r>
      <w:r>
        <w:rPr>
          <w:rFonts w:ascii="Georgia" w:cs="Georgia" w:eastAsia="Georgia" w:hAnsi="Georgia"/>
          <w:b w:val="0"/>
          <w:bCs w:val="0"/>
          <w:i w:val="0"/>
          <w:iCs w:val="0"/>
          <w:sz w:val="22"/>
          <w:szCs w:val="22"/>
          <w:rtl w:val="0"/>
        </w:rPr>
        <w:t xml:space="preserve">.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r>
        <w:rPr>
          <w:rtl w:val="0"/>
        </w:rPr>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left"/>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left"/>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left"/>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left"/>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left"/>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left"/>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rEFLections, 32(2), 951–973.</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90">
      <w:pPr>
        <w:spacing w:before="0" w:after="0" w:line="480" w:lineRule="auto"/>
        <w:ind w:left="720" w:hanging="720"/>
        <w:jc w:val="left"/>
        <w:rPr/>
      </w:pPr>
      <w:r>
        <w:rPr>
          <w:rFonts w:ascii="Georgia" w:cs="Georgia" w:eastAsia="Georgia" w:hAnsi="Georgia"/>
          <w:b w:val="0"/>
          <w:bCs w:val="0"/>
          <w:i w:val="0"/>
          <w:iCs w:val="0"/>
          <w:sz w:val="22"/>
          <w:szCs w:val="22"/>
          <w:rtl w:val="0"/>
        </w:rPr>
        <w:t>https://doi.org/10.61508/refl.v32i2.282512</w:t>
      </w:r>
      <w:r>
        <w:rPr>
          <w:rtl w:val="0"/>
        </w:rPr>
      </w:r>
    </w:p>
    <w:p w:rsidR="00000000" w:rsidDel="00000000" w:rsidP="00000000" w:rsidRDefault="00000000" w:rsidRPr="00000000" w14:paraId="00000192">
      <w:pPr>
        <w:spacing w:before="0" w:after="0" w:line="480" w:lineRule="auto"/>
        <w:ind w:left="720" w:hanging="720"/>
        <w:jc w:val="left"/>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left"/>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left"/>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left"/>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left"/>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left"/>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left"/>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left"/>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Lines w:val="1"/>
        <w:pageBreakBefore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24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both"/>
        <w:rPr/>
      </w:pPr>
      <w:r>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both"/>
        <w:rPr/>
      </w:pPr>
      <w:r>
        <w:rPr>
          <w:rFonts w:ascii="Georgia" w:cs="Cardo" w:eastAsia="Cardo" w:hAnsi="Georgia"/>
          <w:sz w:val="24"/>
          <w:szCs w:val="24"/>
          <w:rtl w:val="0"/>
          <w:i/>
          <w:iCs/>
        </w:rPr>
        <w:t xml:space="preserve">suggest / indicate → hedge when introducing a finding; not a hedge when introducing a recommendation.</w:t>
      </w:r>
      <w:r>
        <w:rPr>
          <w:rtl w:val="0"/>
          <w:rFonts w:ascii="Georgia" w:hAnsi="Georgia"/>
          <w:sz w:val="24"/>
          <w:szCs w:val="24"/>
          <w:i/>
          <w:iCs/>
        </w:rPr>
      </w:r>
    </w:p>
    <w:p w:rsidR="00000000" w:rsidDel="00000000" w:rsidP="00000000" w:rsidRDefault="00000000" w:rsidRPr="00000000" w14:paraId="000001AF">
      <w:pPr>
        <w:spacing w:before="0" w:after="0" w:line="240" w:lineRule="auto"/>
        <w:ind w:left="240" w:firstLine="720"/>
        <w:jc w:val="both"/>
        <w:rPr/>
      </w:pPr>
      <w:r>
        <w:rPr>
          <w:rFonts w:ascii="Georgia" w:cs="Cardo" w:eastAsia="Cardo" w:hAnsi="Georgia"/>
          <w:sz w:val="24"/>
          <w:szCs w:val="24"/>
          <w:rtl w:val="0"/>
          <w:i/>
          <w:iCs/>
        </w:rPr>
        <w:t xml:space="preserve">can / may → hedge when marking possibility; not a hedge when marking capability.</w:t>
      </w:r>
      <w:r>
        <w:rPr>
          <w:rtl w:val="0"/>
          <w:rFonts w:ascii="Georgia" w:hAnsi="Georgia"/>
          <w:sz w:val="24"/>
          <w:szCs w:val="24"/>
          <w:i/>
          <w:iCs/>
        </w:rPr>
      </w:r>
    </w:p>
    <w:p w:rsidR="00000000" w:rsidDel="00000000" w:rsidP="00000000" w:rsidRDefault="00000000" w:rsidRPr="00000000" w14:paraId="000001B0">
      <w:pPr>
        <w:spacing w:before="0" w:after="0" w:line="240" w:lineRule="auto"/>
        <w:ind w:left="240" w:firstLine="720"/>
        <w:jc w:val="both"/>
        <w:rPr/>
      </w:pPr>
      <w:r>
        <w:rPr>
          <w:rFonts w:ascii="Georgia" w:cs="Cardo" w:eastAsia="Cardo" w:hAnsi="Georgia"/>
          <w:sz w:val="24"/>
          <w:szCs w:val="24"/>
          <w:rtl w:val="0"/>
          <w:i/>
          <w:iCs/>
        </w:rPr>
        <w:t xml:space="preserve">generally / typically → hedge when limiting the scope of a claim; not a hedge when describing a procedural norm.</w:t>
      </w:r>
      <w:r>
        <w:rPr>
          <w:rtl w:val="0"/>
          <w:rFonts w:ascii="Georgia" w:hAnsi="Georgia"/>
          <w:sz w:val="24"/>
          <w:szCs w:val="24"/>
          <w:i/>
          <w:iCs/>
        </w:rPr>
      </w:r>
    </w:p>
    <w:p w:rsidR="00000000" w:rsidDel="00000000" w:rsidP="00000000" w:rsidRDefault="00000000" w:rsidRPr="00000000" w14:paraId="000001B1">
      <w:pPr>
        <w:spacing w:before="0" w:after="0" w:line="240" w:lineRule="auto"/>
        <w:ind w:left="240" w:firstLine="0"/>
        <w:jc w:val="both"/>
        <w:rPr/>
      </w:pPr>
      <w:r>
        <w:rPr>
          <w:rFonts w:ascii="Georgia" w:cs="Cardo" w:eastAsia="Cardo" w:hAnsi="Georgia"/>
          <w:sz w:val="24"/>
          <w:szCs w:val="24"/>
          <w:rtl w:val="0"/>
          <w:i/>
          <w:iCs/>
        </w:rPr>
        <w:t xml:space="preserve">appear / seem → hedge when expressing uncertainty about a result; not a hedge when pointing to location in a table or text.</w:t>
      </w:r>
      <w:r>
        <w:rPr>
          <w:rtl w:val="0"/>
          <w:rFonts w:ascii="Georgia" w:hAnsi="Georgia"/>
          <w:sz w:val="24"/>
          <w:szCs w:val="24"/>
          <w:i/>
          <w:iCs/>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pPr/>
      <w:r>
        <w:br w:type="page"/>
      </w:r>
    </w:p>
    <w:p w:rsidR="00000000" w:rsidDel="00000000" w:rsidP="00000000" w:rsidRDefault="00000000" w:rsidRPr="00000000" w14:paraId="00000233">
      <w:pPr>
        <w:keepNext w:val="1"/>
        <w:spacing w:before="60" w:after="0" w:line="312"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312"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312"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312"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312"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312"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312"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312"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312"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312"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312"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312"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312"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312"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60" w:after="0" w:line="312"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color w:val="000000"/>
        </w:rPr>
        <w:t xml:space="preserve"> that C. longa extracts are </w:t>
      </w:r>
      <w:r>
        <w:rPr>
          <w:highlight w:val="red"/>
          <w:color w:val="ffffff"/>
        </w:rPr>
        <w:t>potential</w:t>
      </w:r>
      <w:r>
        <w:rPr>
          <w:color w:val="000000"/>
        </w:rPr>
        <w:t xml:space="preserve"> </w:t>
      </w:r>
      <w:r>
        <w:rPr>
          <w:color w:val="ed7d31"/>
        </w:rPr>
        <w:t>(EC)</w:t>
      </w:r>
      <w:r>
        <w:rPr>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12"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120" w:after="0" w:line="312"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312"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312"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312"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312"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60" w:after="0" w:line="312"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12"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312"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312"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60" w:after="0" w:line="312"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312"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312"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pPr>
        <w:spacing w:line="312" w:lineRule="auto"/>
      </w:pPr>
      <w:r>
        <w:br w:type="page"/>
      </w:r>
    </w:p>
    <w:p w:rsidR="00000000" w:rsidDel="00000000" w:rsidP="00000000" w:rsidRDefault="00000000" w:rsidRPr="00000000" w14:paraId="000001B4">
      <w:pPr>
        <w:keepNext w:val="1"/>
        <w:pageBreakBefore w:val="1"/>
        <w:spacing w:before="720" w:after="12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sz w:val="22"/>
          <w:szCs w:val="22"/>
          <w:rtl w:val="0"/>
        </w:rPr>
        <w:t>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Rule for “potential + noun” constructions: structural position is primary. If the phrase sits in an aim, methods, or pure topic-naming frame (naming the research object, e.g., “assessed the potential of X”), treat as topic-naming (FP-Gen). If it sits in a results or conclusion sentence qualifying a finding-claim, treat as a Lexical hedge (EC). The Working Test is applied as a secondary check: when removing the token clearly changes commitment to a proposition (e.g., "presence of potential mycobacterial infections" → "presence of mycobacterial infections"), the token is coded Lexical EC even in an aim or rationale sentence.</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left"/>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7B">
      <w:pPr>
        <w:keepNext w:val="1"/>
        <w:keepLines w:val="1"/>
        <w:pageBreakBefore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left"/>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i w:val="1"/>
          <w:iCs w:val="1"/>
          <w:sz w:val="24"/>
          <w:szCs w:val="24"/>
          <w:rtl w:val="0"/>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left"/>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 xml:space="preserve">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Caudex" w:cs="Caudex" w:eastAsia="Caudex" w:hAnsi="Caudex"/>
          <w:b w:val="0"/>
          <w:bCs w:val="0"/>
          <w:i w:val="0"/>
          <w:iCs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ungsuh" w:cs="Gungsuh" w:eastAsia="Gungsuh" w:hAnsi="Gungsuh"/>
          <w:b w:val="0"/>
          <w:bCs w:val="0"/>
          <w:i w:val="0"/>
          <w:iCs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would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cs="Georgia" w:eastAsia="Georgia" w:hAnsi="Georgia"/>
          <w:b w:val="1"/>
          <w:bCs w:val="1"/>
          <w:strike w:val="0"/>
          <w:color w:val="000000"/>
          <w:sz w:val="22"/>
          <w:szCs w:val="22"/>
          <w:shd w:fill="bfbfbf" w:val="clear"/>
          <w:rtl w:val="0"/>
        </w:rPr>
        <w:t xml:space="preserve">revealed that the eco-bricks from all treatments were significantly damaged at the height of one meter, making them a weak, unsuitable material to use in building walkways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This study is essential for getting insights into eco-brick manufacture because the workability of SUPs and UCOs as raw materials is proven. </w:t>
      </w:r>
      <w:r>
        <w:rPr>
          <w:rFonts w:ascii="Georgia" w:cs="Georgia" w:eastAsia="Georgia" w:hAnsi="Georgia"/>
          <w:b w:val="1"/>
          <w:bCs w:val="1"/>
          <w:strike w:val="0"/>
          <w:color w:val="000000"/>
          <w:sz w:val="22"/>
          <w:szCs w:val="22"/>
          <w:shd w:fill="bfbfbf" w:val="clear"/>
          <w:rtl w:val="0"/>
        </w:rPr>
        <w:t xml:space="preserve">The research findings do not apply to buildings</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Therefore, further research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A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established to avoid the high danger of heavy metal contamination. Certain local habits, such as waste dumping and other communal activities,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the spread of heavy metals. As a result, some community or local government-adopted measures are </w:t>
      </w:r>
      <w:r>
        <w:rPr>
          <w:rFonts w:ascii="Georgia" w:cs="Georgia" w:eastAsia="Georgia" w:hAnsi="Georgia"/>
          <w:b w:val="1"/>
          <w:bCs w:val="1"/>
          <w:strike w:val="1"/>
          <w:color w:val="000000"/>
          <w:sz w:val="22"/>
          <w:szCs w:val="22"/>
          <w:rtl w:val="0"/>
        </w:rPr>
        <w:t xml:space="preserve">proposed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These precautions are intended to prevent heavy metal contamination, particularly in the river system and the aquatic life in the area.</w:t>
      </w:r>
      <w:r>
        <w:rPr>
          <w:rtl w:val="0"/>
        </w:rPr>
      </w:r>
    </w:p>
    <w:p w:rsidR="00000000" w:rsidDel="00000000" w:rsidP="00000000" w:rsidRDefault="00000000" w:rsidRPr="00000000" w14:paraId="000002B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potential (EC)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Magalang.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cs="Georgia" w:eastAsia="Georgia" w:hAnsi="Georgia"/>
          <w:b w:val="1"/>
          <w:bCs w:val="1"/>
          <w:strike w:val="0"/>
          <w:color w:val="000000"/>
          <w:sz w:val="22"/>
          <w:szCs w:val="22"/>
          <w:shd w:fill="bfbfbf" w:val="clear"/>
          <w:rtl w:val="0"/>
        </w:rPr>
        <w:t xml:space="preserve">the differences between the groups were statistically significant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 were variations in the mean antibody titer measured among samples.</w:t>
      </w:r>
      <w:r>
        <w:rPr>
          <w:rtl w:val="0"/>
        </w:rPr>
      </w:r>
    </w:p>
    <w:p w:rsidR="00000000" w:rsidDel="00000000" w:rsidP="00000000" w:rsidRDefault="00000000" w:rsidRPr="00000000" w14:paraId="000002E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2E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2E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0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center"/>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cs="Georgia" w:eastAsia="Georgia" w:hAnsi="Georgia"/>
          <w:b w:val="1"/>
          <w:bCs w:val="1"/>
          <w:strike w:val="0"/>
          <w:color w:val="000000"/>
          <w:sz w:val="22"/>
          <w:szCs w:val="22"/>
          <w:shd w:fill="bfbfbf" w:val="clear"/>
          <w:rtl w:val="0"/>
        </w:rPr>
        <w:t xml:space="preserve">The results disclosed that the percentage of mortality and moisture content were statistically significant at 1% (P&lt;0.01) and (P&lt;0.05) level with 48 hours after the post-treatment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mortality rate and moisture content were not significant after 6 hours and 24 hours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Therefore,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for future researchers to add Diatomaceous earth and neem tree extract and check the humidity. Extend data collection for 72 hours and 96 hours for future study.</w:t>
      </w:r>
      <w:r>
        <w:rPr>
          <w:rtl w:val="0"/>
        </w:rPr>
      </w:r>
    </w:p>
    <w:p w:rsidR="00000000" w:rsidDel="00000000" w:rsidP="00000000" w:rsidRDefault="00000000" w:rsidRPr="00000000" w14:paraId="0000032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