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pPr>
      <w:r w:rsidDel="00000000" w:rsidR="00000000" w:rsidRPr="00000000">
        <w:rPr>
          <w:rtl w:val="0"/>
        </w:rPr>
        <w:t>English is the medium of academic writing at PSAU, but not the home language for most students. Demir (2018) and related L2 work show that second-language writers typically use fewer hedges and less formal variety than L1 peers. Publication context can amplify that gap. Hu and Cao (2011) found English-medium journal abstracts markedly more hedged than Chinese-medium counterparts in the same field, which suggests that the language of publication and the editorial community shape stance as much as individual proficiency. Petchkij (2019) reports that explicit teaching can raise both frequency and variety among health-science undergraduates, though a preference for modals often remains even after training. The instructional finding matters for PSAU: limited hedge variety in student texts is not only a deficit to be counted. It is also a trainable feature of English for academic purposes.</w:t>
      </w:r>
    </w:p>
    <w:p w:rsidR="00000000" w:rsidDel="00000000" w:rsidP="00000000" w:rsidRDefault="00000000" w:rsidRPr="00000000" w14:paraId="0000002B">
      <w:pPr>
        <w:spacing w:after="0" w:before="0" w:line="480" w:lineRule="auto"/>
        <w:ind w:firstLine="720"/>
        <w:jc w:val="both"/>
        <w:rPr/>
      </w:pPr>
      <w:r w:rsidDel="00000000" w:rsidR="00000000" w:rsidRPr="00000000">
        <w:rPr>
          <w:rtl w:val="0"/>
        </w:rPr>
        <w:t>Since this study does not measure English proficiency independently, observed patterns may reflect L2 constraints, disciplinary socialization, or both. The aim is a descriptive baseline of how stance is worded in ratified abstracts, not a test of which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