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As an English Language Studies project, the chapter treats those findings as patterns in English use: how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p>
      <w:pPr>
        <w:spacing w:line="480" w:lineRule="auto" w:before="0" w:after="0"/>
        <w:jc w:val="both"/>
      </w:pPr>
      <w:r>
        <w:rPr>
          <w:rFonts w:ascii="Georgia" w:hAnsi="Georgia" w:eastAsia="Georgia"/>
          <w:b w:val="0"/>
          <w:i w:val="0"/>
          <w:sz w:val="22"/>
        </w:rPr>
        <w:t>Rhetorical Appeal</w:t>
        <w:tab/>
        <w:t>Frequency</w:t>
        <w:tab/>
        <w:t>Percentage</w:t>
      </w:r>
    </w:p>
    <w:p>
      <w:pPr>
        <w:spacing w:line="480" w:lineRule="auto" w:before="0" w:after="0"/>
        <w:jc w:val="both"/>
      </w:pPr>
      <w:r>
        <w:rPr>
          <w:rFonts w:ascii="Georgia" w:hAnsi="Georgia" w:eastAsia="Georgia"/>
          <w:b w:val="0"/>
          <w:i w:val="0"/>
          <w:sz w:val="22"/>
        </w:rPr>
        <w:t>Logos</w:t>
        <w:tab/>
        <w:t>22</w:t>
        <w:tab/>
        <w:t>64.71%</w:t>
      </w:r>
    </w:p>
    <w:p>
      <w:pPr>
        <w:spacing w:line="480" w:lineRule="auto" w:before="0" w:after="0"/>
        <w:jc w:val="both"/>
      </w:pPr>
      <w:r>
        <w:rPr>
          <w:rFonts w:ascii="Georgia" w:hAnsi="Georgia" w:eastAsia="Georgia"/>
          <w:b w:val="0"/>
          <w:i w:val="0"/>
          <w:sz w:val="22"/>
        </w:rPr>
        <w:t>Pathos</w:t>
        <w:tab/>
        <w:t>11</w:t>
        <w:tab/>
        <w:t>32.35%</w:t>
      </w:r>
    </w:p>
    <w:p>
      <w:pPr>
        <w:spacing w:line="480" w:lineRule="auto" w:before="0" w:after="0"/>
        <w:jc w:val="both"/>
      </w:pPr>
      <w:r>
        <w:rPr>
          <w:rFonts w:ascii="Georgia" w:hAnsi="Georgia" w:eastAsia="Georgia"/>
          <w:b w:val="0"/>
          <w:i w:val="0"/>
          <w:sz w:val="22"/>
        </w:rPr>
        <w:t>Ethos</w:t>
        <w:tab/>
        <w:t>1</w:t>
        <w:tab/>
        <w:t>2.94%</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rPr>
        <w:t>Table 1 shows that logos had the highest frequency, with 22 instances (64.71%), followed by pathos with 11 instances (32.35%). Ethos had the lowest frequency, with only one instance (2.94%). Each of the 34 CTA phrases was classified according to its dominant rhetorical appeal. From an English Language Studies perspective, this distribution describes how persuasive English is worded in the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rPr>
        <w:t>A closer examination of logos across the five brands showed that The Ordinary had the highest frequency, with seven instances. Luxe Organix and Pond’s followed with five instances each, while Olay had three and Myra had two. The captions associated with these CTA phrases commonly presented product ingredients, features, numerical information, stated benefits, prices, and usage instructions. For example, Olay used “Get the power of 5 serum benefits in just one bottle!” where the number “5” and the reference to serum benefits provide specific product-related information. Luxe Organix captions likewise presented ingredients, sun protection, product functions, and prices. These elements supported classification under logos because they offer reasons for considering the product. That reading is consistent with logos as persuasion through logical reasoning or argument (Stanford Encyclopedia of Philosophy, 2022) and with digital-advertising analyses that locate logos in facts, specifications, and product data (Nasir et al., 2025).</w:t>
      </w:r>
    </w:p>
    <w:p>
      <w:pPr>
        <w:spacing w:line="480" w:lineRule="auto" w:before="0" w:after="0"/>
        <w:ind w:firstLine="720"/>
        <w:jc w:val="both"/>
      </w:pPr>
      <w:r>
        <w:rPr>
          <w:rFonts w:ascii="Georgia" w:hAnsi="Georgia" w:eastAsia="Georgia"/>
          <w:b w:val="0"/>
          <w:i w:val="0"/>
          <w:sz w:val="22"/>
        </w:rPr>
        <w:t>Pathos was identified in 11 CTA phrases. Olay and Myra had four instances each, followed by Luxe Organix with two and Pond’s with one. No CTA phrase from The Ordinary was classified under pathos. Captions in this group used expressions related to desirable skin conditions, emotional associations, promotional excitement, and urgency—for example Olay’s “Wrap your skin in love,” “glowy, refreshed skin,” and “Don’t miss out!”; Luxe Organix’s “Want to achieve a youthful skin?”; and Myra’s “Give her the gift of youthful radiance.” Such wording appeals to desire, care, and urgency. Beauty-advertising research often finds pathos realized through aspirational appearance and affective framing (Dwiyanti, 2024). In English terms,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rPr>
        <w:t>Ethos was identified in only one CTA phrase, from Myra: “Myra’s trusted skincare essentials,” where trusted supplies an explicit credibility cue. By contrast, “made by Myra” in another advertisement was not treated as ethos merely because it named the brand; accompanying words such as Glow and Radiance supported a pathos reading instead. Classification therefore rested on textual evidence of trustworthiness, not on brand identification alone. That distinction follows the definition of ethos as an appeal based on credibility (Stanford Encyclopedia of Philosophy, 2022) and keeps the coding rule available for defense: form alone does not equal function.</w:t>
      </w:r>
    </w:p>
    <w:p>
      <w:pPr>
        <w:spacing w:line="480" w:lineRule="auto" w:before="0" w:after="0"/>
        <w:ind w:firstLine="720"/>
        <w:jc w:val="both"/>
      </w:pPr>
      <w:r>
        <w:rPr>
          <w:rFonts w:ascii="Georgia" w:hAnsi="Georgia" w:eastAsia="Georgia"/>
          <w:b w:val="0"/>
          <w:i w:val="0"/>
          <w:sz w:val="22"/>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rPr>
        <w:t>Overall, logos, pathos, and ethos were all present in the selected captions. Logos was the most frequent appeal, followed by pathos and ethos. For English Language Studies, the main point is not market effectiveness but wording: in this corpus, persuasive English in skincare CTAs most often builds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p>
      <w:pPr>
        <w:spacing w:line="480" w:lineRule="auto" w:before="0" w:after="0"/>
        <w:jc w:val="both"/>
      </w:pPr>
      <w:r>
        <w:rPr>
          <w:rFonts w:ascii="Georgia" w:hAnsi="Georgia" w:eastAsia="Georgia"/>
          <w:b w:val="0"/>
          <w:i w:val="0"/>
          <w:sz w:val="22"/>
        </w:rPr>
        <w:t>Directive Subtype</w:t>
        <w:tab/>
        <w:t>Frequency</w:t>
        <w:tab/>
        <w:t>Percentage</w:t>
      </w:r>
    </w:p>
    <w:p>
      <w:pPr>
        <w:spacing w:line="480" w:lineRule="auto" w:before="0" w:after="0"/>
        <w:jc w:val="both"/>
      </w:pPr>
      <w:r>
        <w:rPr>
          <w:rFonts w:ascii="Georgia" w:hAnsi="Georgia" w:eastAsia="Georgia"/>
          <w:b w:val="0"/>
          <w:i w:val="0"/>
          <w:sz w:val="22"/>
        </w:rPr>
        <w:t>Command</w:t>
        <w:tab/>
        <w:t>0</w:t>
        <w:tab/>
        <w:t>0%</w:t>
      </w:r>
    </w:p>
    <w:p>
      <w:pPr>
        <w:spacing w:line="480" w:lineRule="auto" w:before="0" w:after="0"/>
        <w:jc w:val="both"/>
      </w:pPr>
      <w:r>
        <w:rPr>
          <w:rFonts w:ascii="Georgia" w:hAnsi="Georgia" w:eastAsia="Georgia"/>
          <w:b w:val="0"/>
          <w:i w:val="0"/>
          <w:sz w:val="22"/>
        </w:rPr>
        <w:t>Order</w:t>
        <w:tab/>
        <w:t>22</w:t>
        <w:tab/>
        <w:t>64.71%</w:t>
      </w:r>
    </w:p>
    <w:p>
      <w:pPr>
        <w:spacing w:line="480" w:lineRule="auto" w:before="0" w:after="0"/>
        <w:jc w:val="both"/>
      </w:pPr>
      <w:r>
        <w:rPr>
          <w:rFonts w:ascii="Georgia" w:hAnsi="Georgia" w:eastAsia="Georgia"/>
          <w:b w:val="0"/>
          <w:i w:val="0"/>
          <w:sz w:val="22"/>
        </w:rPr>
        <w:t>Suggestion</w:t>
        <w:tab/>
        <w:t>12</w:t>
        <w:tab/>
        <w:t>35.29%</w:t>
      </w:r>
    </w:p>
    <w:p>
      <w:pPr>
        <w:spacing w:line="480" w:lineRule="auto" w:before="0" w:after="0"/>
        <w:jc w:val="both"/>
      </w:pPr>
      <w:r>
        <w:rPr>
          <w:rFonts w:ascii="Georgia" w:hAnsi="Georgia" w:eastAsia="Georgia"/>
          <w:b w:val="0"/>
          <w:i w:val="0"/>
          <w:sz w:val="22"/>
        </w:rPr>
        <w:t>Request</w:t>
        <w:tab/>
        <w:t>0</w:t>
        <w:tab/>
        <w:t>0%</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rPr>
        <w:t>Table 3 shows that order was the most frequent subtype (22 instances; 64.71%), followed by suggestion (12; 35.29%). No command or request was identified. Orders appeared across all five brands; suggestions varied by brand. Parallel work on beauty captions has likewise found directive language used to encourage purchase and engagement, often through commands, suggestions, invitations, and advice (e.g., analyses of NIVEA Instagram captions using Searle’s framework). In English Language Studies terms, the CTA is not only promotional copy; it is an utterance that performs a social action.</w:t>
      </w:r>
    </w:p>
    <w:p>
      <w:pPr>
        <w:spacing w:line="480" w:lineRule="auto" w:before="0" w:after="0"/>
        <w:ind w:firstLine="720"/>
        <w:jc w:val="both"/>
      </w:pPr>
      <w:r>
        <w:rPr>
          <w:rFonts w:ascii="Georgia" w:hAnsi="Georgia" w:eastAsia="Georgia"/>
          <w:b w:val="0"/>
          <w:i w:val="0"/>
          <w:sz w:val="22"/>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rPr>
        <w:t>Suggestion was identified in 12 CTA phrases, most often in Myra and Pond’s, with fewer cases in The Ordinary and Luxe Organix, and none in Olay. These expressions encouraged consumers to consider trying a product, incorporating it into a routine, or pursuing a desired result—for example Luxe Organix’s “Try this newest Niacinamide + Retinol cloudsoap!,” The Ordinary’s “Power Up Your P.M.,” and Myra’s “Give her the gift of youthful radiance with Myra Ultimate.” Under the operational definitions adopted from Anggraini and Afriana (2023), suggestion proposes a course of action while leaving the hearer room to accept or refuse it. The English of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rPr>
        <w:t>Overall, order dominated and suggestion was secondary. For English Language Studies, the finding answers the second research question as a distribution of illocutionary subtypes in English CTA phrases: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rPr>
        <w:t>Part III examines how rhetorical appeals and directive subtypes combine in the 34 CTA phrases. The analysis treats persuasive meaning as jointly constructed: the appeal supplies a reason, emotion, or credibility frame in English,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p>
      <w:pPr>
        <w:spacing w:line="480" w:lineRule="auto" w:before="0" w:after="0"/>
        <w:jc w:val="both"/>
      </w:pPr>
      <w:r>
        <w:rPr>
          <w:rFonts w:ascii="Georgia" w:hAnsi="Georgia" w:eastAsia="Georgia"/>
          <w:b w:val="0"/>
          <w:i w:val="0"/>
          <w:sz w:val="22"/>
        </w:rPr>
        <w:t>Rhetorical Appeal + Directive Subtype</w:t>
        <w:tab/>
        <w:t>Frequency</w:t>
        <w:tab/>
        <w:t>Percentage</w:t>
      </w:r>
    </w:p>
    <w:p>
      <w:pPr>
        <w:spacing w:line="480" w:lineRule="auto" w:before="0" w:after="0"/>
        <w:jc w:val="both"/>
      </w:pPr>
      <w:r>
        <w:rPr>
          <w:rFonts w:ascii="Georgia" w:hAnsi="Georgia" w:eastAsia="Georgia"/>
          <w:b w:val="0"/>
          <w:i w:val="0"/>
          <w:sz w:val="22"/>
        </w:rPr>
        <w:t>Logos + Order</w:t>
        <w:tab/>
        <w:t>15</w:t>
        <w:tab/>
        <w:t>44.12%</w:t>
      </w:r>
    </w:p>
    <w:p>
      <w:pPr>
        <w:spacing w:line="480" w:lineRule="auto" w:before="0" w:after="0"/>
        <w:jc w:val="both"/>
      </w:pPr>
      <w:r>
        <w:rPr>
          <w:rFonts w:ascii="Georgia" w:hAnsi="Georgia" w:eastAsia="Georgia"/>
          <w:b w:val="0"/>
          <w:i w:val="0"/>
          <w:sz w:val="22"/>
        </w:rPr>
        <w:t>Pathos + Order</w:t>
        <w:tab/>
        <w:t>6</w:t>
        <w:tab/>
        <w:t>17.65%</w:t>
      </w:r>
    </w:p>
    <w:p>
      <w:pPr>
        <w:spacing w:line="480" w:lineRule="auto" w:before="0" w:after="0"/>
        <w:jc w:val="both"/>
      </w:pPr>
      <w:r>
        <w:rPr>
          <w:rFonts w:ascii="Georgia" w:hAnsi="Georgia" w:eastAsia="Georgia"/>
          <w:b w:val="0"/>
          <w:i w:val="0"/>
          <w:sz w:val="22"/>
        </w:rPr>
        <w:t>Ethos + Order</w:t>
        <w:tab/>
        <w:t>1</w:t>
        <w:tab/>
        <w:t>2.94%</w:t>
      </w:r>
    </w:p>
    <w:p>
      <w:pPr>
        <w:spacing w:line="480" w:lineRule="auto" w:before="0" w:after="0"/>
        <w:jc w:val="both"/>
      </w:pPr>
      <w:r>
        <w:rPr>
          <w:rFonts w:ascii="Georgia" w:hAnsi="Georgia" w:eastAsia="Georgia"/>
          <w:b w:val="0"/>
          <w:i w:val="0"/>
          <w:sz w:val="22"/>
        </w:rPr>
        <w:t>Logos + Suggestion</w:t>
        <w:tab/>
        <w:t>7</w:t>
        <w:tab/>
        <w:t>20.59%</w:t>
      </w:r>
    </w:p>
    <w:p>
      <w:pPr>
        <w:spacing w:line="480" w:lineRule="auto" w:before="0" w:after="0"/>
        <w:jc w:val="both"/>
      </w:pPr>
      <w:r>
        <w:rPr>
          <w:rFonts w:ascii="Georgia" w:hAnsi="Georgia" w:eastAsia="Georgia"/>
          <w:b w:val="0"/>
          <w:i w:val="0"/>
          <w:sz w:val="22"/>
        </w:rPr>
        <w:t>Pathos + Suggestion</w:t>
        <w:tab/>
        <w:t>5</w:t>
        <w:tab/>
        <w:t>14.71%</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rPr>
        <w:t>Logos + Order, found in Olay, Luxe Organix, The Ordinary, and Pond’s, pairs product-related information with a direct instruction. English in 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English packaging of both in one CTA unit.</w:t>
      </w:r>
    </w:p>
    <w:p>
      <w:pPr>
        <w:spacing w:line="480" w:lineRule="auto" w:before="0" w:after="0"/>
        <w:ind w:firstLine="720"/>
        <w:jc w:val="both"/>
      </w:pPr>
      <w:r>
        <w:rPr>
          <w:rFonts w:ascii="Georgia" w:hAnsi="Georgia" w:eastAsia="Georgia"/>
          <w:b w:val="0"/>
          <w:i w:val="0"/>
          <w:sz w:val="22"/>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English choice in caption writing, not measures of campaign success.</w:t>
      </w:r>
    </w:p>
    <w:p>
      <w:pPr>
        <w:spacing w:line="480" w:lineRule="auto" w:before="0" w:after="0"/>
        <w:ind w:firstLine="720"/>
        <w:jc w:val="both"/>
      </w:pPr>
      <w:r>
        <w:rPr>
          <w:rFonts w:ascii="Georgia" w:hAnsi="Georgia" w:eastAsia="Georgia"/>
          <w:b w:val="0"/>
          <w:i w:val="0"/>
          <w:sz w:val="22"/>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As an English Language Studies analysis, the chapter accounts for how those resources are worded and what illocutionary work they do. It does not establish whether consumers purchased or used the products.</w:t>
      </w:r>
    </w:p>
    <w:p>
      <w:pPr>
        <w:spacing w:line="480" w:lineRule="auto" w:before="240" w:after="0"/>
        <w:ind w:firstLine="0"/>
        <w:jc w:val="left"/>
      </w:pPr>
      <w:r>
        <w:rPr>
          <w:rFonts w:ascii="Georgia" w:hAnsi="Georgia" w:eastAsia="Georgia"/>
          <w:b/>
          <w:i w:val="0"/>
          <w:sz w:val="24"/>
        </w:rPr>
        <w:t>References Cited in This Chapter</w:t>
      </w:r>
    </w:p>
    <w:p>
      <w:pPr>
        <w:spacing w:line="480" w:lineRule="auto" w:before="0" w:after="0"/>
        <w:jc w:val="both"/>
      </w:pPr>
      <w:r>
        <w:rPr>
          <w:rFonts w:ascii="Georgia" w:hAnsi="Georgia" w:eastAsia="Georgia"/>
          <w:b w:val="0"/>
          <w:i w:val="0"/>
          <w:sz w:val="22"/>
        </w:rPr>
        <w:t>Anggraini, &amp; Afriana. (2023). [Directive speech act subtypes operational definitions as cited in the thesis framework.]</w:t>
      </w:r>
    </w:p>
    <w:p>
      <w:pPr>
        <w:spacing w:line="480" w:lineRule="auto" w:before="0" w:after="0"/>
        <w:jc w:val="both"/>
      </w:pPr>
      <w:r>
        <w:rPr>
          <w:rFonts w:ascii="Georgia" w:hAnsi="Georgia" w:eastAsia="Georgia"/>
          <w:b w:val="0"/>
          <w:i w:val="0"/>
          <w:sz w:val="22"/>
        </w:rPr>
        <w:t>De Castro, &amp; Martinez. (2025). [Facebook bank advertisements; ethos and pathos in Philippine digital advertising.]</w:t>
      </w:r>
    </w:p>
    <w:p>
      <w:pPr>
        <w:spacing w:line="480" w:lineRule="auto" w:before="0" w:after="0"/>
        <w:jc w:val="both"/>
      </w:pPr>
      <w:r>
        <w:rPr>
          <w:rFonts w:ascii="Georgia" w:hAnsi="Georgia" w:eastAsia="Georgia"/>
          <w:b w:val="0"/>
          <w:i w:val="0"/>
          <w:sz w:val="22"/>
        </w:rPr>
        <w:t>Dwiyanti, W. G. (2024). Persuasive techniques in makeup and skincare video advertisements. Jurnal Linguistik Terapan, 1, 27–37. https://jurnal.polinema.ac.id/index.php/jlt/article/view/4558</w:t>
      </w:r>
    </w:p>
    <w:p>
      <w:pPr>
        <w:spacing w:line="480" w:lineRule="auto" w:before="0" w:after="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8(4).</w:t>
      </w:r>
    </w:p>
    <w:p>
      <w:pPr>
        <w:spacing w:line="480" w:lineRule="auto" w:before="0" w:after="0"/>
        <w:jc w:val="both"/>
      </w:pPr>
      <w:r>
        <w:rPr>
          <w:rFonts w:ascii="Georgia" w:hAnsi="Georgia" w:eastAsia="Georgia"/>
          <w:b w:val="0"/>
          <w:i w:val="0"/>
          <w:sz w:val="22"/>
        </w:rPr>
        <w:t>Pennock-Speck, B., &amp; Fuster-Márquez, M. (2014). Imperatives in voice-overs in British TV commercials: “Get this, buy that, taste the other.” Discourse &amp; Communication, 8(4). https://doi.org/10.1177/1750481314537578</w:t>
      </w:r>
    </w:p>
    <w:p>
      <w:pPr>
        <w:spacing w:line="480" w:lineRule="auto" w:before="0" w:after="0"/>
        <w:jc w:val="both"/>
      </w:pPr>
      <w:r>
        <w:rPr>
          <w:rFonts w:ascii="Georgia" w:hAnsi="Georgia" w:eastAsia="Georgia"/>
          <w:b w:val="0"/>
          <w:i w:val="0"/>
          <w:sz w:val="22"/>
        </w:rPr>
        <w:t>Saad, &amp; Ismael. (2025). [Rhetorical appeals and speech acts in cosmetic advertising, as cited in the thesis.]</w:t>
      </w:r>
    </w:p>
    <w:p>
      <w:pPr>
        <w:spacing w:line="480" w:lineRule="auto" w:before="0" w:after="0"/>
        <w:jc w:val="both"/>
      </w:pPr>
      <w:r>
        <w:rPr>
          <w:rFonts w:ascii="Georgia" w:hAnsi="Georgia" w:eastAsia="Georgia"/>
          <w:b w:val="0"/>
          <w:i w:val="0"/>
          <w:sz w:val="22"/>
        </w:rPr>
        <w:t>Searle, J. R. (1975/1976). Speech acts / A classification of illocutionary acts. [As cited in the thesis framework.]</w:t>
      </w:r>
    </w:p>
    <w:p>
      <w:pPr>
        <w:spacing w:line="480" w:lineRule="auto" w:before="0" w:after="0"/>
        <w:jc w:val="both"/>
      </w:pPr>
      <w:r>
        <w:rPr>
          <w:rFonts w:ascii="Georgia" w:hAnsi="Georgia" w:eastAsia="Georgia"/>
          <w:b w:val="0"/>
          <w:i w:val="0"/>
          <w:sz w:val="22"/>
        </w:rPr>
        <w:t>Stanford Encyclopedia of Philosophy. (2022). Aristotle’s rhetoric. [Ethos, pathos, logos definitions as cited in the thesis.]</w:t>
      </w:r>
    </w:p>
    <w:p>
      <w:pPr>
        <w:spacing w:line="480" w:lineRule="auto" w:before="0" w:after="0"/>
        <w:jc w:val="both"/>
      </w:pPr>
      <w:r>
        <w:rPr>
          <w:rFonts w:ascii="Georgia" w:hAnsi="Georgia" w:eastAsia="Georgia"/>
          <w:b w:val="0"/>
          <w:i w:val="0"/>
          <w:sz w:val="22"/>
        </w:rPr>
        <w:t>Talaue, (2022). [Aristotle’s rhetorical triangle in advertisements targeting college consumers, as cited in the thesis.]</w:t>
      </w:r>
    </w:p>
    <w:p>
      <w:pPr>
        <w:spacing w:line="480" w:lineRule="auto" w:before="0" w:after="0"/>
        <w:jc w:val="both"/>
      </w:pPr>
      <w:r>
        <w:rPr>
          <w:rFonts w:ascii="Georgia" w:hAnsi="Georgia" w:eastAsia="Georgia"/>
          <w:b w:val="0"/>
          <w:i w:val="0"/>
          <w:sz w:val="22"/>
        </w:rPr>
        <w:t>Yule, G. (1996). Pragmatics. Oxford University Press. [Directive subtypes as cited via Anggraini &amp; Afriana, 2023.]</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