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480" w:lineRule="auto" w:before="0" w:after="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480" w:lineRule="auto" w:before="0" w:after="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480" w:lineRule="auto" w:before="0" w:after="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480" w:lineRule="auto" w:before="0" w:after="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480" w:lineRule="auto" w:before="0" w:after="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480" w:lineRule="auto" w:before="0" w:after="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480" w:lineRule="auto" w:before="0" w:after="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480" w:lineRule="auto" w:before="0" w:after="0"/>
        <w:ind w:firstLine="720"/>
        <w:jc w:val="both"/>
      </w:pPr>
      <w:r>
        <w:rPr>
          <w:rFonts w:ascii="Georgia" w:hAnsi="Georgia" w:eastAsia="Georgia"/>
          <w:b w:val="0"/>
          <w:i w:val="0"/>
          <w:sz w:val="22"/>
        </w:rPr>
        <w:t xml:space="preserve">This study maps hedging patterns in undergraduate thesis abstracts from Agriculture, Veterinary Medicine, and Biology at PSAU. It asks: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480" w:lineRule="auto" w:before="0" w:after="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480" w:lineRule="auto" w:before="0" w:after="0"/>
        <w:ind w:firstLine="720"/>
        <w:jc w:val="both"/>
      </w:pPr>
      <w:r>
        <w:rPr>
          <w:rFonts w:ascii="Georgia" w:hAnsi="Georgia" w:eastAsia="Georgia"/>
          <w:b/>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
      </w:r>
      <w:r>
        <w:rPr>
          <w:rFonts w:ascii="Georgia" w:hAnsi="Georgia" w:eastAsia="Georgia"/>
          <w:b w:val="0"/>
          <w:i w:val="0"/>
          <w:sz w:val="22"/>
        </w:rPr>
        <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p>
    <w:p>
      <w:pPr>
        <w:spacing w:line="480" w:lineRule="auto" w:before="0" w:after="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 xml:space="preserve">All 60 retained hedges were coded as Epistemic Caution. No politeness or discourse-organization functions appear. The uniform assignment may reflect a restricted repertoire, the compressed abstract genre, the coding scheme, or single-rater interpretation; the limitation is noted in Scope. The narrow functional range is consistent with earlier findings on developing L2 writers (Hyland &amp; Milton, 1997).</w:t>
      </w:r>
    </w:p>
    <w:p>
      <w:pPr>
        <w:spacing w:line="480" w:lineRule="auto" w:before="0" w:after="0"/>
        <w:ind w:firstLine="720"/>
        <w:jc w:val="both"/>
      </w:pPr>
      <w:r>
        <w:rPr>
          <w:rFonts w:ascii="Georgia" w:hAnsi="Georgia" w:eastAsia="Georgia"/>
          <w:b w:val="0"/>
          <w:i w:val="0"/>
          <w:sz w:val="22"/>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w:t>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.052; chi-square on zero-hedge distribution p = .13, neither of which reaches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 xml:space="preserve">Three observations support a descriptive label of pro forma hedging, not a confirmed construct: (1) potential accounts for 38.9% of lexical hedges and recurs in near-identical frames; (2) all retained hedges serve a single function; (3) 46.7% of abstracts contain no hedges at all.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0"/>
        <w:ind w:firstLine="720"/>
        <w:jc w:val="both"/>
      </w:pPr>
      <w:r>
        <w:t xml:space="preserve"/>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 xml:space="preserve">Lexical hedges outnumber modal verbs (60.0% vs 35.0%), inverting the modal-dominant pattern common in developing-researcher studies (Khunasathitchai et al., 2025; Wang, 2022), largely because of formulaic potential. Density is highest in Agriculture (0.60 per 100 words), then Biology (0.55), then Veterinary Medicine (0.18). Nearly half of abstracts contain no coded hedges; Veterinary Medicine alone accounts for a 65% zero-hedge rate. Every retained hedge serves Epistemic Caution.</w:t>
      </w:r>
    </w:p>
    <w:p>
      <w:pPr>
        <w:spacing w:line="480" w:lineRule="auto" w:before="0" w:after="0"/>
        <w:ind w:firstLine="720"/>
        <w:jc w:val="both"/>
      </w:pPr>
      <w:r>
        <w:rPr>
          <w:rFonts w:ascii="Georgia" w:hAnsi="Georgia" w:eastAsia="Georgia"/>
          <w:b w:val="0"/>
          <w:i w:val="0"/>
          <w:sz w:val="22"/>
        </w:rPr>
        <w:t>Disciplinary differentiation is present but uneven. Veterinary Medicine’s sparse, assertive profile is the clearest contrast. Agriculture’s edge over Biology is modest and sensitive to a single outlier. The patterns are consistent with field-specific epistemic demands (Salager-Meyer, 1994) operating even among developing writers, but statistical evidence is borderline (Kruskal-Wallis p ≈ .052) and the sample is small. The study provides a local baseline, not a general law.</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p>
    <w:p>
      <w:pPr>
        <w:spacing w:line="480" w:lineRule="auto" w:before="0" w:after="0"/>
        <w:ind w:firstLine="720"/>
        <w:jc w:val="both"/>
      </w:pPr>
      <w:r>
        <w:rPr>
          <w:rFonts w:ascii="Georgia" w:hAnsi="Georgia" w:eastAsia="Georgia"/>
          <w:b w:val="0"/>
          <w:i w:val="0"/>
          <w:sz w:val="22"/>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p>
    <w:p>
      <w:pPr>
        <w:spacing w:before="240" w:after="0"/>
      </w:pPr>
      <w:r>
        <w:rPr>
          <w:rFonts w:ascii="Georgia" w:hAnsi="Georgia" w:eastAsia="Georgia"/>
          <w:b/>
          <w:i w:val="0"/>
          <w:sz w:val="22"/>
        </w:rPr>
      </w:r>
    </w:p>
    <w:p>
      <w:pPr>
        <w:spacing w:after="120"/>
      </w:pPr>
      <w:r>
        <w:rPr>
          <w:rFonts w:ascii="Georgia" w:hAnsi="Georgia" w:eastAsia="Georgia"/>
          <w:b w:val="0"/>
          <w:i/>
          <w:sz w:val="22"/>
        </w:rPr>
      </w:r>
    </w:p>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https://doi.org/10.47772/IJRISS.2025.91100485</w:t>
      </w:r>
    </w:p>
    <w:p>
      <w:pPr>
        <w:spacing w:line="480" w:lineRule="auto" w:before="0" w:after="0"/>
        <w:ind w:left="720" w:hanging="720"/>
        <w:jc w:val="left"/>
      </w:pP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Landis, J. R., &amp; Koch, G. G. (1977). The measurement of observer agreement for categorical data. Biometrics, 33(1), 159–174. https://doi.org/10.2307/2529310</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240" w:line="24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120" w:after="200" w:line="240" w:lineRule="auto"/>
        <w:jc w:val="center"/>
      </w:pPr>
      <w:r>
        <w:rPr>
          <w:rFonts w:ascii="Georgia" w:hAnsi="Georgia" w:eastAsia="Georgia"/>
          <w:b/>
          <w:i w:val="0"/>
          <w:sz w:val="28"/>
        </w:rPr>
      </w:r>
      <w:r>
        <w:rPr>
          <w:rFonts w:ascii="Georgia" w:hAnsi="Georgia" w:cs="Georgia"/>
          <w:b/>
          <w:sz w:val="28"/>
        </w:rPr>
        <w:t>APPENDIX A: HEDGING CODEBOOK</w:t>
      </w:r>
    </w:p>
    <w:p>
      <w:pPr>
        <w:spacing w:before="0" w:after="120" w:line="240" w:lineRule="auto"/>
        <w:jc w:val="left"/>
      </w:pPr>
      <w:r>
        <w:rPr>
          <w:rFonts w:ascii="Georgia" w:hAnsi="Georgia" w:eastAsia="Georgia"/>
          <w:b w:val="0"/>
          <w:i w:val="0"/>
          <w:sz w:val="22"/>
        </w:rPr>
      </w:r>
      <w:r>
        <w:rPr>
          <w:rFonts w:ascii="Georgia" w:hAnsi="Georgia" w:cs="Georgia"/>
          <w:b w:val="0"/>
          <w:sz w:val="22"/>
        </w:rPr>
        <w:t>This appendix is the full coding protocol used for the study. It opens with a one-page quick-reference, then gives the operational layers, decision rules, false-positive categories, and recording conventions.</w:t>
      </w:r>
    </w:p>
    <w:p>
      <w:pPr>
        <w:spacing w:line="240" w:lineRule="auto" w:before="240" w:after="120"/>
        <w:ind w:firstLine="720"/>
        <w:jc w:val="left"/>
      </w:pPr>
      <w:r>
        <w:rPr>
          <w:rFonts w:ascii="Georgia" w:hAnsi="Georgia" w:eastAsia="Georgia"/>
          <w:b/>
          <w:i w:val="0"/>
          <w:sz w:val="22"/>
        </w:rPr>
      </w:r>
      <w:r>
        <w:rPr>
          <w:rFonts w:ascii="Georgia" w:hAnsi="Georgia" w:cs="Georgia"/>
          <w:b/>
          <w:sz w:val="24"/>
        </w:rPr>
        <w:t>QUICK-REFERENCE</w:t>
      </w:r>
    </w:p>
    <w:p>
      <w:pPr>
        <w:keepNext/>
        <w:keepLines/>
        <w:spacing w:before="0" w:after="120" w:line="240" w:lineRule="auto"/>
        <w:jc w:val="left"/>
      </w:pPr>
      <w:r>
        <w:rPr>
          <w:rFonts w:ascii="Georgia" w:hAnsi="Georgia" w:eastAsia="Georgia"/>
          <w:b w:val="0"/>
          <w:i/>
          <w:sz w:val="24"/>
        </w:rPr>
      </w:r>
      <w:r>
        <w:rPr>
          <w:rFonts w:ascii="Georgia" w:hAnsi="Georgia" w:cs="Georgia"/>
          <w:b w:val="0"/>
          <w:sz w:val="22"/>
        </w:rPr>
        <w:t>Coding is context-sensitive. A word is a hedge only when it functions as one in the sentence, not because it appears on a list.</w:t>
      </w:r>
    </w:p>
    <w:p>
      <w:pPr>
        <w:spacing w:line="240" w:lineRule="auto" w:before="200" w:after="80"/>
        <w:jc w:val="left"/>
      </w:pPr>
      <w:r>
        <w:rPr>
          <w:rFonts w:ascii="Georgia" w:hAnsi="Georgia" w:eastAsia="Georgia"/>
          <w:b/>
          <w:i w:val="0"/>
          <w:sz w:val="22"/>
        </w:rPr>
      </w:r>
      <w:r>
        <w:rPr>
          <w:rFonts w:ascii="Georgia" w:hAnsi="Georgia" w:cs="Georgia"/>
          <w:b/>
          <w:sz w:val="24"/>
        </w:rPr>
        <w:t>Hedge types</w:t>
      </w:r>
    </w:p>
    <w:p>
      <w:pPr>
        <w:spacing w:line="240" w:lineRule="auto" w:before="0" w:after="60"/>
        <w:ind w:left="240"/>
        <w:jc w:val="left"/>
      </w:pPr>
      <w:r>
        <w:rPr>
          <w:rFonts w:ascii="Georgia" w:hAnsi="Georgia" w:eastAsia="Georgia"/>
          <w:b w:val="0"/>
          <w:i w:val="0"/>
          <w:sz w:val="22"/>
        </w:rPr>
      </w:r>
      <w:r>
        <w:rPr>
          <w:rFonts w:ascii="Georgia" w:hAnsi="Georgia" w:cs="Georgia"/>
          <w:b w:val="0"/>
          <w:sz w:val="22"/>
        </w:rPr>
        <w:t>1. Modal verbs: may, might, could, would, should, can (when they mark possibility, not capability or obligation).</w:t>
      </w:r>
    </w:p>
    <w:p>
      <w:pPr>
        <w:spacing w:line="240" w:lineRule="auto" w:before="0" w:after="60"/>
        <w:ind w:left="240"/>
        <w:jc w:val="left"/>
      </w:pPr>
      <w:r>
        <w:rPr>
          <w:rFonts w:ascii="Georgia" w:hAnsi="Georgia" w:eastAsia="Georgia"/>
          <w:b w:val="0"/>
          <w:i w:val="0"/>
          <w:sz w:val="22"/>
        </w:rPr>
      </w:r>
      <w:r>
        <w:rPr>
          <w:rFonts w:ascii="Georgia" w:hAnsi="Georgia" w:cs="Georgia"/>
          <w:b w:val="0"/>
          <w:sz w:val="22"/>
        </w:rPr>
        <w:t>2. Lexical hedges: suggest, indicate, appear, seem, propose, assume, possible, probable, likely, potential (and similar epistemic adjectives or nouns) when they qualify the certainty of a claim and pass the Working Test.</w:t>
      </w:r>
    </w:p>
    <w:p>
      <w:pPr>
        <w:spacing w:line="240" w:lineRule="auto" w:before="0" w:after="60"/>
        <w:ind w:left="240"/>
        <w:jc w:val="left"/>
      </w:pPr>
      <w:r>
        <w:rPr>
          <w:rFonts w:ascii="Georgia" w:hAnsi="Georgia" w:eastAsia="Georgia"/>
          <w:b w:val="0"/>
          <w:i w:val="0"/>
          <w:sz w:val="22"/>
        </w:rPr>
      </w:r>
      <w:r>
        <w:rPr>
          <w:rFonts w:ascii="Georgia" w:hAnsi="Georgia" w:cs="Georgia"/>
          <w:b w:val="0"/>
          <w:sz w:val="22"/>
        </w:rPr>
        <w:t>3. Adverbial hedges: generally, typically, possibly, probably, relatively, essentially (when they qualify scope or certainty, not procedural routine).</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4. Clause-level hedges: it seems that, it is possible that, to some extent, in our view.</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Hedge functions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Epistemic Caution: marks uncertainty about whether a claim is true (e.g., The treatment may reduce infection rates).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Politeness / Deference: softens face threat or shows respect rather than genuine doubt (e.g., As suggested by Hyland…).</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Discourse Organization: manages text structure or reader expectations rather than stance (e.g., It should be noted that…).</w:t>
      </w:r>
    </w:p>
    <w:p>
      <w:pPr>
        <w:spacing w:line="240" w:lineRule="auto" w:before="200" w:after="80"/>
        <w:ind w:firstLine="720"/>
        <w:jc w:val="left"/>
      </w:pPr>
      <w:r>
        <w:rPr>
          <w:rFonts w:ascii="Georgia" w:hAnsi="Georgia" w:eastAsia="Georgia"/>
          <w:b/>
          <w:i w:val="0"/>
          <w:sz w:val="22"/>
        </w:rPr>
      </w:r>
      <w:r>
        <w:rPr>
          <w:rFonts w:ascii="Georgia" w:hAnsi="Georgia" w:eastAsia="Georgia"/>
          <w:b/>
          <w:i w:val="0"/>
          <w:sz w:val="22"/>
        </w:rPr>
      </w:r>
      <w:r>
        <w:rPr>
          <w:rFonts w:ascii="Georgia" w:hAnsi="Georgia" w:cs="Georgia"/>
          <w:b/>
          <w:sz w:val="24"/>
        </w:rPr>
        <w:t>Core decision rules</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suggest / indicate → hedge when introducing a finding; not a hedge when introducing a recommendation.</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can / may → hedge when marking possibility; not a hedge when marking capability.</w:t>
      </w:r>
    </w:p>
    <w:p>
      <w:pPr>
        <w:spacing w:line="240" w:lineRule="auto" w:before="0" w:after="60"/>
        <w:ind w:firstLine="720" w:left="240"/>
        <w:jc w:val="left"/>
      </w:pPr>
      <w:r>
        <w:rPr>
          <w:rFonts w:ascii="Georgia" w:hAnsi="Georgia" w:eastAsia="Georgia"/>
          <w:b/>
          <w:i w:val="0"/>
          <w:sz w:val="22"/>
        </w:rPr>
      </w:r>
      <w:r>
        <w:rPr>
          <w:rFonts w:ascii="Georgia" w:hAnsi="Georgia" w:eastAsia="Georgia"/>
          <w:b w:val="0"/>
          <w:i w:val="0"/>
          <w:sz w:val="22"/>
        </w:rPr>
      </w:r>
      <w:r>
        <w:rPr>
          <w:rFonts w:ascii="Georgia" w:hAnsi="Georgia" w:cs="Georgia"/>
          <w:b w:val="0"/>
          <w:sz w:val="22"/>
        </w:rPr>
        <w:t>generally / typically → hedge when limiting the scope of a claim; not a hedge when describing a procedural norm.</w:t>
      </w:r>
    </w:p>
    <w:p>
      <w:pPr>
        <w:keepNext/>
        <w:keepLines/>
        <w:spacing w:before="0" w:after="60" w:line="240" w:lineRule="auto"/>
        <w:ind w:left="240"/>
        <w:jc w:val="left"/>
      </w:pPr>
      <w:r>
        <w:rPr>
          <w:rFonts w:ascii="Georgia" w:hAnsi="Georgia" w:eastAsia="Georgia"/>
          <w:b w:val="0"/>
          <w:i/>
          <w:sz w:val="24"/>
        </w:rPr>
      </w:r>
      <w:r>
        <w:rPr>
          <w:rFonts w:ascii="Georgia" w:hAnsi="Georgia" w:cs="Georgia"/>
          <w:b w:val="0"/>
          <w:sz w:val="22"/>
        </w:rPr>
        <w:t>appear / seem → hedge when expressing uncertainty about a result; not a hedge when pointing to location in a table or text.</w:t>
      </w:r>
    </w:p>
    <w:p>
      <w:pPr>
        <w:spacing w:line="240" w:lineRule="auto" w:before="200" w:after="80"/>
        <w:ind w:firstLine="720"/>
        <w:jc w:val="left"/>
      </w:pPr>
      <w:r>
        <w:rPr>
          <w:rFonts w:ascii="Georgia" w:hAnsi="Georgia" w:eastAsia="Georgia"/>
          <w:b/>
          <w:i w:val="0"/>
          <w:sz w:val="22"/>
        </w:rPr>
      </w:r>
      <w:r>
        <w:rPr>
          <w:rFonts w:ascii="Georgia" w:hAnsi="Georgia" w:cs="Georgia"/>
          <w:b/>
          <w:sz w:val="24"/>
        </w:rPr>
        <w:t>Exclusion and Working Test</w:t>
      </w:r>
    </w:p>
    <w:p>
      <w:pPr>
        <w:spacing w:before="0" w:after="120" w:line="240" w:lineRule="auto"/>
        <w:jc w:val="left"/>
      </w:pPr>
      <w:r>
        <w:rPr>
          <w:rFonts w:ascii="Georgia" w:hAnsi="Georgia" w:eastAsia="Georgia"/>
          <w:b w:val="0"/>
          <w:i w:val="0"/>
          <w:sz w:val="22"/>
        </w:rPr>
      </w:r>
      <w:r>
        <w:rPr>
          <w:rFonts w:ascii="Georgia" w:hAnsi="Georgia" w:cs="Georgia"/>
          <w:b w:val="0"/>
          <w:sz w:val="22"/>
        </w:rPr>
        <w:t>Ability, future procedure, and necessity (must / should in procedural contexts) are never hedges. Working Test: if removing the device does not change how certain or tentative the claim is, it is not a hedge.</w:t>
      </w:r>
    </w:p>
    <w:p>
      <w:pPr>
        <w:spacing w:before="320" w:after="160" w:line="240" w:lineRule="auto"/>
        <w:jc w:val="left"/>
      </w:pPr>
      <w:r>
        <w:rPr>
          <w:rFonts w:ascii="Georgia" w:hAnsi="Georgia" w:eastAsia="Georgia"/>
          <w:b/>
          <w:i w:val="0"/>
          <w:sz w:val="28"/>
        </w:rPr>
      </w:r>
      <w:r>
        <w:rPr>
          <w:rFonts w:ascii="Georgia" w:hAnsi="Georgia" w:cs="Georgia"/>
          <w:b/>
          <w:sz w:val="24"/>
        </w:rPr>
        <w:t>FULL CODEBOOK</w:t>
      </w:r>
    </w:p>
    <w:p>
      <w:pPr>
        <w:spacing w:before="0" w:after="0" w:line="240" w:lineRule="auto"/>
      </w:pPr>
      <w:r>
        <w:rPr>
          <w:rFonts w:ascii="Georgia" w:hAnsi="Georgia" w:eastAsia="Georgia"/>
          <w:b w:val="0"/>
          <w:i w:val="0"/>
          <w:sz w:val="22"/>
        </w:rPr>
      </w:r>
    </w:p>
    <w:p>
      <w:pPr>
        <w:keepNext/>
        <w:keepLines/>
        <w:spacing w:before="200" w:after="80" w:line="240" w:lineRule="auto"/>
        <w:jc w:val="left"/>
      </w:pPr>
      <w:r>
        <w:rPr>
          <w:rFonts w:ascii="Georgia" w:hAnsi="Georgia" w:eastAsia="Georgia" w:cs="Georgia"/>
          <w:b/>
          <w:i w:val="0"/>
          <w:sz w:val="22"/>
        </w:rPr>
        <w:t>PURPOSE</w:t>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This codebook turns Hyland’s (1998) framework into a practical coding scheme for the PSAU undergraduate thesis abstract corpus. Highlights are background colors applied by hand or digital highlighter on printed or PDF copies. They are not font colors and are not software-dependent. The marked hard copy is the primary record; any spreadsheet is only a derived tally.</w:t>
      </w:r>
    </w:p>
    <w:p>
      <w:pPr>
        <w:keepNext/>
        <w:keepLines/>
        <w:spacing w:before="200" w:after="80" w:line="240" w:lineRule="auto"/>
        <w:jc w:val="left"/>
      </w:pPr>
      <w:r>
        <w:rPr>
          <w:rFonts w:ascii="Georgia" w:hAnsi="Georgia" w:eastAsia="Georgia"/>
          <w:b/>
          <w:i w:val="0"/>
          <w:sz w:val="24"/>
        </w:rPr>
        <w:t>WORKING TEST</w:t>
      </w:r>
    </w:p>
    <w:p>
      <w:pPr>
        <w:spacing w:line="240" w:lineRule="auto" w:before="0" w:after="12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240" w:lineRule="auto" w:before="0" w:after="12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240" w:lineRule="auto" w:before="0" w:after="12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240" w:lineRule="auto" w:before="0" w:after="12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00" w:after="80" w:line="240" w:lineRule="auto"/>
        <w:jc w:val="left"/>
      </w:pPr>
      <w:r>
        <w:rPr>
          <w:rFonts w:ascii="Georgia" w:hAnsi="Georgia" w:eastAsia="Georgia"/>
          <w:b/>
          <w:i w:val="0"/>
          <w:sz w:val="24"/>
        </w:rPr>
        <w:t>LAYER 1: HEDGE TYPE (PRIMARY COLORS)</w:t>
      </w:r>
    </w:p>
    <w:p>
      <w:pPr>
        <w:spacing w:line="240" w:lineRule="auto" w:before="0" w:after="12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240" w:lineRule="auto" w:before="0" w:after="120"/>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00" w:after="80" w:line="240" w:lineRule="auto"/>
        <w:jc w:val="left"/>
      </w:pPr>
      <w:r>
        <w:rPr>
          <w:rFonts w:ascii="Georgia" w:hAnsi="Georgia" w:eastAsia="Georgia"/>
          <w:b/>
          <w:i w:val="0"/>
          <w:sz w:val="24"/>
        </w:rPr>
        <w:t>LAYER 2: HEDGE FUNCTION (COLORED TEXT LABELS)</w:t>
      </w:r>
    </w:p>
    <w:p>
      <w:pPr>
        <w:spacing w:line="240" w:lineRule="auto" w:before="0" w:after="12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00" w:after="80" w:line="240" w:lineRule="auto"/>
        <w:jc w:val="left"/>
      </w:pPr>
      <w:r>
        <w:rPr>
          <w:rFonts w:ascii="Georgia" w:hAnsi="Georgia" w:eastAsia="Georgia"/>
          <w:b/>
          <w:i w:val="0"/>
          <w:sz w:val="24"/>
        </w:rPr>
        <w:t>DECISION RULES FOR AMBIGUOUS CASES</w:t>
      </w:r>
    </w:p>
    <w:p>
      <w:pPr>
        <w:spacing w:line="240" w:lineRule="auto" w:before="0" w:after="12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240" w:lineRule="auto" w:before="0" w:after="120"/>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00" w:after="80" w:line="240" w:lineRule="auto"/>
        <w:jc w:val="left"/>
      </w:pPr>
      <w:r>
        <w:rPr>
          <w:rFonts w:ascii="Georgia" w:hAnsi="Georgia" w:eastAsia="Georgia"/>
          <w:b/>
          <w:i w:val="0"/>
          <w:sz w:val="24"/>
        </w:rPr>
        <w:t>MARKING FALSE POSITIVES</w:t>
      </w:r>
    </w:p>
    <w:p>
      <w:pPr>
        <w:spacing w:line="240" w:lineRule="auto" w:before="0" w:after="12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00" w:after="80" w:line="240" w:lineRule="auto"/>
        <w:jc w:val="left"/>
      </w:pPr>
      <w:r>
        <w:rPr>
          <w:rFonts w:ascii="Georgia" w:hAnsi="Georgia" w:eastAsia="Georgia"/>
          <w:b/>
          <w:i w:val="0"/>
          <w:sz w:val="24"/>
        </w:rPr>
        <w:t>LAYER 3 (OPTIONAL): UNHEDGED ASSERTION SITES (NEUTRAL GREY)</w:t>
      </w:r>
    </w:p>
    <w:p>
      <w:pPr>
        <w:spacing w:line="240" w:lineRule="auto" w:before="0" w:after="12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00" w:after="80" w:line="240" w:lineRule="auto"/>
        <w:jc w:val="left"/>
      </w:pPr>
      <w:r>
        <w:rPr>
          <w:rFonts w:ascii="Georgia" w:hAnsi="Georgia" w:eastAsia="Georgia"/>
          <w:b/>
          <w:i w:val="0"/>
          <w:sz w:val="24"/>
        </w:rPr>
        <w:t>QUICK-REFERENCE LEGEND</w:t>
      </w:r>
    </w:p>
    <w:p>
      <w:pPr>
        <w:spacing w:line="240" w:lineRule="auto" w:before="0" w:after="12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00" w:after="80" w:line="240" w:lineRule="auto"/>
        <w:jc w:val="left"/>
      </w:pPr>
      <w:r>
        <w:rPr>
          <w:rFonts w:ascii="Georgia" w:hAnsi="Georgia" w:eastAsia="Georgia"/>
          <w:b/>
          <w:i w:val="0"/>
          <w:sz w:val="24"/>
        </w:rPr>
        <w:t>COMBINED EXAMPLE</w:t>
      </w:r>
    </w:p>
    <w:p>
      <w:pPr>
        <w:spacing w:line="240" w:lineRule="auto" w:before="0" w:after="12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240" w:lineRule="auto" w:before="0" w:after="12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00" w:after="80" w:line="240" w:lineRule="auto"/>
        <w:jc w:val="left"/>
      </w:pPr>
      <w:r>
        <w:rPr>
          <w:rFonts w:ascii="Georgia" w:hAnsi="Georgia" w:eastAsia="Georgia"/>
          <w:b/>
          <w:i w:val="0"/>
          <w:sz w:val="24"/>
        </w:rPr>
        <w:t>CODING SHEET COLUMNS</w:t>
      </w:r>
    </w:p>
    <w:p>
      <w:pPr>
        <w:spacing w:line="240" w:lineRule="auto" w:before="0" w:after="12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240" w:lineRule="auto" w:before="0" w:after="120"/>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240" w:lineRule="auto" w:before="0" w:after="120"/>
        <w:ind w:firstLine="720"/>
        <w:jc w:val="both"/>
      </w:pPr>
      <w:r>
        <w:rPr>
          <w:rFonts w:ascii="Georgia" w:hAnsi="Georgia" w:eastAsia="Georgia"/>
          <w:b w:val="0"/>
          <w:i/>
          <w:color w:val="000000"/>
          <w:sz w:val="22"/>
        </w:rPr>
        <w:t>Layer 3 data, tracked separately so it never inflates RQ2 counts.</w:t>
      </w:r>
    </w:p>
    <w:p>
      <w:pPr>
        <w:keepNext/>
        <w:keepLines/>
        <w:spacing w:before="0" w:after="120" w:line="24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0" w:after="120" w:line="240" w:lineRule="auto"/>
        <w:jc w:val="left"/>
      </w:pPr>
      <w:r>
        <w:rPr>
          <w:rFonts w:ascii="Georgia" w:hAnsi="Georgia" w:eastAsia="Georgia"/>
          <w:b w:val="0"/>
          <w:i/>
          <w:sz w:val="24"/>
        </w:rPr>
        <w:t>Optional Tab: Rejected Hedge Candidates</w:t>
      </w:r>
    </w:p>
    <w:p>
      <w:pPr>
        <w:spacing w:line="240" w:lineRule="auto" w:before="0" w:after="12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pacing w:before="360" w:after="200" w:line="240" w:lineRule="auto"/>
        <w:jc w:val="center"/>
      </w:pPr>
      <w:r>
        <w:rPr>
          <w:rFonts w:ascii="Georgia" w:hAnsi="Georgia" w:eastAsia="Georgia" w:cs="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240" w:lineRule="auto" w:before="0" w:after="120"/>
        <w:ind w:firstLine="720"/>
        <w:jc w:val="left"/>
      </w:pPr>
      <w:r>
        <w:rPr>
          <w:rFonts w:ascii="Georgia" w:hAnsi="Georgia" w:eastAsia="Georgia"/>
          <w:b w:val="0"/>
          <w:i w:val="0"/>
          <w:sz w:val="22"/>
        </w:rPr>
      </w:r>
      <w:r>
        <w:rPr>
          <w:rFonts w:ascii="Georgia" w:hAnsi="Georgia" w:cs="Georgia"/>
          <w:b w:val="0"/>
          <w:sz w:val="22"/>
        </w:rPr>
        <w:t>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keepNext/>
        <w:keepLines/>
        <w:spacing w:before="200" w:after="80" w:line="240" w:lineRule="auto"/>
        <w:jc w:val="left"/>
      </w:pPr>
      <w:r>
        <w:rPr>
          <w:rFonts w:ascii="Georgia" w:hAnsi="Georgia" w:eastAsia="Georgia"/>
          <w:b/>
          <w:i/>
          <w:sz w:val="24"/>
        </w:rPr>
        <w:t>Sample 1: Biology</w:t>
      </w:r>
    </w:p>
    <w:p>
      <w:pPr>
        <w:spacing w:line="240" w:lineRule="auto" w:before="0" w:after="12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240" w:lineRule="auto" w:before="0" w:after="12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240" w:lineRule="auto" w:before="0" w:after="120"/>
        <w:ind w:firstLine="720"/>
        <w:jc w:val="both"/>
      </w:pPr>
      <w:r>
        <w:rPr>
          <w:rFonts w:ascii="Georgia" w:hAnsi="Georgia" w:eastAsia="Georgia"/>
          <w:b/>
          <w:i w:val="0"/>
          <w:sz w:val="22"/>
        </w:rPr>
        <w:t>Hedge Count: 0</w:t>
      </w:r>
    </w:p>
    <w:p>
      <w:pPr>
        <w:spacing w:line="240" w:lineRule="auto" w:before="0" w:after="12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r>
      <w:r>
        <w:rPr>
          <w:rFonts w:ascii="Georgia" w:hAnsi="Georgia" w:cs="Georgia"/>
          <w:b/>
          <w:sz w:val="22"/>
        </w:rPr>
        <w:t>General observation from the pilot</w:t>
      </w:r>
    </w:p>
    <w:p>
      <w:pPr>
        <w:spacing w:line="480" w:lineRule="auto" w:before="0" w:after="0"/>
        <w:ind w:firstLine="720"/>
        <w:jc w:val="left"/>
      </w:pPr>
      <w:r>
        <w:rPr>
          <w:rFonts w:ascii="Georgia" w:hAnsi="Georgia" w:eastAsia="Georgia"/>
          <w:b w:val="0"/>
          <w:i w:val="0"/>
          <w:sz w:val="22"/>
        </w:rPr>
      </w:r>
      <w:r>
        <w:rPr>
          <w:rFonts w:ascii="Georgia" w:hAnsi="Georgia" w:cs="Georgia"/>
          <w:b w:val="0"/>
          <w:sz w:val="22"/>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360" w:after="200" w:line="240" w:lineRule="auto"/>
        <w:jc w:val="center"/>
      </w:pPr>
      <w:r>
        <w:rPr>
          <w:rFonts w:ascii="Georgia" w:hAnsi="Georgia" w:eastAsia="Georgia"/>
          <w:b/>
          <w:i w:val="0"/>
          <w:sz w:val="28"/>
        </w:rPr>
      </w:r>
      <w:r>
        <w:rPr>
          <w:rFonts w:ascii="Georgia" w:hAnsi="Georgia" w:cs="Georgia"/>
          <w:b/>
          <w:sz w:val="28"/>
        </w:rPr>
        <w:t>APPENDIX C: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