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 xml:space="preserve">For writing instructors and thesis advisers at PSAU, </w:t>
      </w:r>
      <w:r>
        <w:rPr>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 </w:t>
      </w:r>
      <w:r>
        <w:rPr>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 </w:t>
      </w:r>
      <w:r>
        <w:rPr>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 </w:t>
      </w:r>
      <w:r>
        <w:rPr>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Unhedged sites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Abstracts within a program may share advisers, so observations are not fully independent, and within-discipline spread remains larger than the gaps between means. With a small, zero-inflated sample and no multiple-comparison correction, the result is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All 65 retained hedges were coded Epistemic Caution (EC). No Politeness/Deference (P) or Discourse Organization (DO) hedges were identified. Discourse connectors such as Hence, Thus, Therefore, and In conclusion appear in the corpus and are tagged (DO) in Appendix C but are not counted as hedges. Table 5 presents the function distribution.</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map frequency, function, and cross-disciplinary density. The contrasts below are exploratory descriptions of what was observed here, not stable discipline-level characteristics. As reported in Part II, the Kruskal-Wallis test on rates reached p = .025 and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As noted in Scope, the study cannot separate genuine field norms from adviser-enforced conventions; the findings describe the ratified abstracts, not individual cognition.</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type—Agriculture has no Binary outcomes here—so discipline and study design remain entangled. Statistical evidence is exploratory (Kruskal-Wallis on rates p = .025)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and whether null write-ups invite different hedging choices, controlling for the entanglement of outcome type and discipline in this sample.</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