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The clearest contrast is Veterinary Medicine's lower hedge density and higher zero-hedge share (Part II). Agriculture and Biology are near-tied on density; the Agriculture-Biology difference is marginal and sensitive to Acs2, so it is not treated as a stable ranking. Descriptive notes only: Agriculture shows a near balance of modal and lexical hedges with tokens such as potential and suggests often in conclusion sentences; Biology's hedges are predominantly lexical, with potential sometimes in aim statements as topic-naming. Neither note is offered as a discipline-level profile. Outcome type was coded for all 60 abstracts (Binary, Continuous, Mixed, Null/NS, Other; see Compiled Results Draft_004). The binary-outcome account of VM density is not supported. VM Binary abstracts average 0.38 hedges (n=8); Biology Binary abstracts average 1.57 (n=7)—same outcome type, about four times the hedging. VM’s low rate looks like a VM pattern, not a binary-outcome pattern. A clearer lead in the same table is Null/NS share: Agriculture has 14 of 20 abstracts coded Null/NS against 2 of 20 for VM; those Agriculture Null/NS abstracts average about 1.5 hedges, and Acs2 is a textbook case of hedging used to rescue a null result. Part of the Agriculture–VM density gap may therefore reflect how often each field wrote up non-significant findings. Cell sizes are small, so this is suggestive only. Field norms, adviser practice, and outcome type remain unseparated. The defensible claim is that VM abstracts in this corpus hedge less; the cause remains unknown.</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