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cs="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Pr>
          <w:rFonts w:ascii="Georgia" w:hAnsi="Georgia" w:eastAsia="Georgia"/>
          <w:b w:val="0"/>
          <w:sz w:val="22"/>
        </w:rPr>
        <w:t>Ambiguous forms such as can, potential, indicating, and possibility may function either as epistemic hedges or as non-epistemic lexical items depending on context. Table 1 summarizes how the claim condition and the two removal checks are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2"/>
        <w:tblW w:w="8307.0" w:type="dxa"/>
        <w:jc w:val="left"/>
        <w:tblInd w:w="-223.0" w:type="dxa"/>
        <w:tblLayout w:type="fixed"/>
        <w:tblLook w:val="0400"/>
      </w:tblPr>
      <w:tblGrid>
        <w:gridCol w:w="2769"/>
        <w:gridCol w:w="2769"/>
        <w:gridCol w:w="2769"/>
      </w:tblGrid>
      <w:tr>
        <w:tc>
          <w:tcPr>
            <w:tcW w:w="2769" w:type="dxa"/>
            <w:tcBorders>
              <w:top w:color="000000" w:space="0" w:sz="18" w:val="single"/>
              <w:bottom w:color="000000" w:space="0" w:sz="4" w:val="single"/>
            </w:tcBorders>
          </w:tcPr>
          <w:p>
            <w:pPr>
              <w:spacing w:before="0" w:after="0" w:line="240" w:lineRule="auto"/>
              <w:jc w:val="left"/>
            </w:pPr>
            <w:r>
              <w:rPr>
                <w:b/>
                <w:sz w:val="18"/>
              </w:rPr>
              <w:t>Token / construction</w:t>
            </w:r>
          </w:p>
        </w:tc>
        <w:tc>
          <w:tcPr>
            <w:tcW w:w="2769" w:type="dxa"/>
            <w:tcBorders>
              <w:top w:color="000000" w:space="0" w:sz="18" w:val="single"/>
              <w:bottom w:color="000000" w:space="0" w:sz="4" w:val="single"/>
            </w:tcBorders>
          </w:tcPr>
          <w:p>
            <w:pPr>
              <w:spacing w:before="0" w:after="0" w:line="240" w:lineRule="auto"/>
              <w:jc w:val="left"/>
            </w:pPr>
            <w:r>
              <w:rPr>
                <w:b/>
                <w:sz w:val="18"/>
              </w:rPr>
              <w:t>Hedge when</w:t>
            </w:r>
          </w:p>
        </w:tc>
        <w:tc>
          <w:tcPr>
            <w:tcW w:w="2769" w:type="dxa"/>
            <w:tcBorders>
              <w:top w:color="000000" w:space="0" w:sz="18" w:val="single"/>
              <w:bottom w:color="000000" w:space="0" w:sz="4" w:val="single"/>
            </w:tcBorders>
          </w:tcPr>
          <w:p>
            <w:pPr>
              <w:spacing w:before="0" w:after="0" w:line="240" w:lineRule="auto"/>
              <w:jc w:val="left"/>
            </w:pPr>
            <w:r>
              <w:rPr>
                <w:b/>
                <w:sz w:val="18"/>
              </w:rPr>
              <w:t>Not a hedge when</w:t>
            </w:r>
          </w:p>
        </w:tc>
      </w:tr>
      <w:tr>
        <w:tc>
          <w:tcPr>
            <w:tcW w:w="2769" w:type="dxa"/>
          </w:tcPr>
          <w:p>
            <w:pPr>
              <w:spacing w:before="0" w:after="0" w:line="240" w:lineRule="auto"/>
              <w:jc w:val="left"/>
            </w:pPr>
            <w:r>
              <w:rPr>
                <w:b w:val="0"/>
                <w:sz w:val="18"/>
              </w:rPr>
              <w:t>can + active content verb (e.g., enhance, promote, reduce, help)</w:t>
            </w:r>
          </w:p>
        </w:tc>
        <w:tc>
          <w:tcPr>
            <w:tcW w:w="2769" w:type="dxa"/>
          </w:tcPr>
          <w:p>
            <w:pPr>
              <w:spacing w:before="0" w:after="0" w:line="240" w:lineRule="auto"/>
              <w:jc w:val="left"/>
            </w:pPr>
            <w:r>
              <w:rPr>
                <w:b w:val="0"/>
                <w:sz w:val="18"/>
              </w:rPr>
              <w:t>Removing can raises the epistemic weight of a finding-claim (possibility reading).</w:t>
            </w:r>
          </w:p>
        </w:tc>
        <w:tc>
          <w:tcPr>
            <w:tcW w:w="2769" w:type="dxa"/>
          </w:tcPr>
          <w:p>
            <w:pPr>
              <w:spacing w:before="0" w:after="0" w:line="240" w:lineRule="auto"/>
              <w:jc w:val="left"/>
            </w:pPr>
            <w:r>
              <w:rPr>
                <w:b w:val="0"/>
                <w:sz w:val="18"/>
              </w:rPr>
              <w:t>Marks capability or ability only (false positive).</w:t>
            </w:r>
          </w:p>
        </w:tc>
      </w:tr>
      <w:tr>
        <w:tc>
          <w:tcPr>
            <w:tcW w:w="2769" w:type="dxa"/>
          </w:tcPr>
          <w:p>
            <w:pPr>
              <w:spacing w:before="0" w:after="0" w:line="240" w:lineRule="auto"/>
              <w:jc w:val="left"/>
            </w:pPr>
            <w:r>
              <w:rPr>
                <w:b w:val="0"/>
                <w:sz w:val="18"/>
              </w:rPr>
              <w:t>indicating / indicates</w:t>
            </w:r>
          </w:p>
        </w:tc>
        <w:tc>
          <w:tcPr>
            <w:tcW w:w="2769" w:type="dxa"/>
          </w:tcPr>
          <w:p>
            <w:pPr>
              <w:spacing w:before="0" w:after="0" w:line="240" w:lineRule="auto"/>
              <w:jc w:val="left"/>
            </w:pPr>
            <w:r>
              <w:rPr>
                <w:b w:val="0"/>
                <w:sz w:val="18"/>
              </w:rPr>
              <w:t>Introduces an inference beyond the operational definition of the result.</w:t>
            </w:r>
          </w:p>
        </w:tc>
        <w:tc>
          <w:tcPr>
            <w:tcW w:w="2769" w:type="dxa"/>
          </w:tcPr>
          <w:p>
            <w:pPr>
              <w:spacing w:before="0" w:after="0" w:line="240" w:lineRule="auto"/>
              <w:jc w:val="left"/>
            </w:pPr>
            <w:r>
              <w:rPr>
                <w:b w:val="0"/>
                <w:sz w:val="18"/>
              </w:rPr>
              <w:t>Restates a field-standard threshold or the operational meaning of the measure (false positive).</w:t>
            </w:r>
          </w:p>
        </w:tc>
      </w:tr>
      <w:tr>
        <w:tc>
          <w:tcPr>
            <w:tcW w:w="2769" w:type="dxa"/>
          </w:tcPr>
          <w:p>
            <w:pPr>
              <w:spacing w:before="0" w:after="0" w:line="240" w:lineRule="auto"/>
              <w:jc w:val="left"/>
            </w:pPr>
            <w:r>
              <w:rPr>
                <w:b w:val="0"/>
                <w:sz w:val="18"/>
              </w:rPr>
              <w:t>potential + noun</w:t>
            </w:r>
          </w:p>
        </w:tc>
        <w:tc>
          <w:tcPr>
            <w:tcW w:w="2769" w:type="dxa"/>
          </w:tcPr>
          <w:p>
            <w:pPr>
              <w:spacing w:before="0" w:after="0" w:line="240" w:lineRule="auto"/>
              <w:jc w:val="left"/>
            </w:pPr>
            <w:r>
              <w:rPr>
                <w:b w:val="0"/>
                <w:sz w:val="18"/>
              </w:rPr>
              <w:t>Results or conclusion frame that qualifies a finding-claim, and the Working Test holds.</w:t>
            </w:r>
          </w:p>
        </w:tc>
        <w:tc>
          <w:tcPr>
            <w:tcW w:w="2769" w:type="dxa"/>
          </w:tcPr>
          <w:p>
            <w:pPr>
              <w:spacing w:before="0" w:after="0" w:line="240" w:lineRule="auto"/>
              <w:jc w:val="left"/>
            </w:pPr>
            <w:r>
              <w:rPr>
                <w:b w:val="0"/>
                <w:sz w:val="18"/>
              </w:rPr>
              <w:t>Aim or methods clause (non-claim / topic-naming; fails the claim condition).</w:t>
            </w:r>
          </w:p>
        </w:tc>
      </w:tr>
      <w:tr>
        <w:tc>
          <w:tcPr>
            <w:tcW w:w="2769" w:type="dxa"/>
          </w:tcPr>
          <w:p>
            <w:pPr>
              <w:spacing w:before="0" w:after="0" w:line="240" w:lineRule="auto"/>
              <w:jc w:val="left"/>
            </w:pPr>
            <w:r>
              <w:rPr>
                <w:b w:val="0"/>
                <w:sz w:val="18"/>
              </w:rPr>
              <w:t>possibility + noun</w:t>
            </w:r>
          </w:p>
        </w:tc>
        <w:tc>
          <w:tcPr>
            <w:tcW w:w="2769" w:type="dxa"/>
          </w:tcPr>
          <w:p>
            <w:pPr>
              <w:spacing w:before="0" w:after="0" w:line="240" w:lineRule="auto"/>
              <w:jc w:val="left"/>
            </w:pPr>
            <w:r>
              <w:rPr>
                <w:b w:val="0"/>
                <w:sz w:val="18"/>
              </w:rPr>
              <w:t>Same claim-condition treatment as potential when the host is a finding-claim.</w:t>
            </w:r>
          </w:p>
        </w:tc>
        <w:tc>
          <w:tcPr>
            <w:tcW w:w="2769" w:type="dxa"/>
          </w:tcPr>
          <w:p>
            <w:pPr>
              <w:spacing w:before="0" w:after="0" w:line="240" w:lineRule="auto"/>
              <w:jc w:val="left"/>
            </w:pPr>
            <w:r>
              <w:rPr>
                <w:b w:val="0"/>
                <w:sz w:val="18"/>
              </w:rPr>
              <w:t>Aim or method sentence (non-claim).</w:t>
            </w:r>
          </w:p>
        </w:tc>
      </w:tr>
      <w:tr>
        <w:tc>
          <w:tcPr>
            <w:tcW w:w="2769" w:type="dxa"/>
            <w:tcBorders>
              <w:bottom w:color="000000" w:space="0" w:sz="18" w:val="single"/>
            </w:tcBorders>
          </w:tcPr>
          <w:p>
            <w:pPr>
              <w:spacing w:before="0" w:after="0" w:line="240" w:lineRule="auto"/>
              <w:jc w:val="left"/>
            </w:pPr>
            <w:r>
              <w:rPr>
                <w:b w:val="0"/>
                <w:sz w:val="18"/>
              </w:rPr>
              <w:t>Multiple hedge-like tokens in one sentence</w:t>
            </w:r>
          </w:p>
        </w:tc>
        <w:tc>
          <w:tcPr>
            <w:tcW w:w="2769" w:type="dxa"/>
            <w:tcBorders>
              <w:bottom w:color="000000" w:space="0" w:sz="18" w:val="single"/>
            </w:tcBorders>
          </w:tcPr>
          <w:p>
            <w:pPr>
              <w:spacing w:before="0" w:after="0" w:line="240" w:lineRule="auto"/>
              <w:jc w:val="left"/>
            </w:pPr>
            <w:r>
              <w:rPr>
                <w:b w:val="0"/>
                <w:sz w:val="18"/>
              </w:rPr>
              <w:t>Each token is tested on its own host clause under the claim condition and the two removal checks.</w:t>
            </w:r>
          </w:p>
        </w:tc>
        <w:tc>
          <w:tcPr>
            <w:tcW w:w="2769" w:type="dxa"/>
            <w:tcBorders>
              <w:bottom w:color="000000" w:space="0" w:sz="18" w:val="single"/>
            </w:tcBorders>
          </w:tcPr>
          <w:p>
            <w:pPr>
              <w:spacing w:before="0" w:after="0" w:line="240" w:lineRule="auto"/>
              <w:jc w:val="left"/>
            </w:pPr>
            <w:r>
              <w:rPr>
                <w:b w:val="0"/>
                <w:sz w:val="18"/>
              </w:rPr>
              <w:t>A preceding hedge (e.g., suggest) does not determine the function of another token (e.g., can).</w:t>
            </w:r>
          </w:p>
        </w:tc>
      </w:tr>
    </w:tbl>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cs="Georgia"/>
          <w:b w:val="0"/>
          <w:sz w:val="22"/>
        </w:rPr>
        <w:t>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cs="Georgia"/>
          <w:b/>
          <w:sz w:val="24"/>
        </w:rPr>
        <w:t>Table 3</w:t>
      </w:r>
    </w:p>
    <w:p w:rsidR="00000000" w:rsidDel="00000000" w:rsidP="00000000" w:rsidRDefault="00000000" w:rsidRPr="00000000" w14:paraId="000000AA">
      <w:pPr>
        <w:keepNext w:val="1"/>
        <w:spacing w:after="60" w:before="0" w:line="480" w:lineRule="auto"/>
        <w:jc w:val="center"/>
        <w:rPr/>
      </w:pPr>
      <w:r w:rsidDel="00000000" w:rsidR="00000000" w:rsidRPr="00000000">
        <w:rPr>
          <w:rFonts w:ascii="Georgia" w:hAnsi="Georgia" w:cs="Georgia" w:eastAsia="Georgia"/>
          <w:b w:val="0"/>
          <w:sz w:val="24"/>
          <w:rtl w:val="0"/>
        </w:rPr>
        <w:t>Hedge Types by Count and Discipline</w:t>
      </w:r>
    </w:p>
    <w:p w:rsidR="00000000" w:rsidDel="00000000" w:rsidP="00000000" w:rsidRDefault="00000000" w:rsidRPr="00000000" w14:paraId="000000BD">
      <w:pPr>
        <w:spacing w:after="0" w:before="240" w:line="480" w:lineRule="auto"/>
        <w:ind w:firstLine="720"/>
        <w:jc w:val="both"/>
        <w:rPr/>
      </w:pPr>
      <w:r>
        <w:rPr>
          <w:rFonts w:ascii="Times New Roman" w:hAnsi="Times New Roman" w:eastAsia="Times New Roman" w:cs="Times New Roman"/>
          <w:b w:val="0"/>
          <w:sz w:val="22"/>
        </w:rPr>
        <w:t>Table 3 reports hedge types with corpus totals and counts by discipline (Biology, Veterinary Medicine, Agriculture). Lexical hedges dominate overall (42), followed by modal verbs (20) and adverbial hedges (3); no clause-level hedges appear. Agriculture is nearly balanced (13 modal vs. 14 lexical). Biology is heavily lexical (20 of 28). Veterinary Medicine’s small total (10) is also mostly lexical (8), with only 2 modal verbs. Within lexical hedges, potential accounts for 19 of 42 instances—the single most frequent token; other frequent forms include suggest/suggests/suggesting and the modals can, could, may, and might.</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c>
          <w:tcPr>
            <w:tcW w:type="dxa" w:w="1661"/>
            <w:tcBorders>
              <w:bottom w:val="single" w:sz="4" w:color="000000" w:space="0"/>
            </w:tcBorders>
          </w:tcPr>
          <w:p>
            <w:pPr>
              <w:spacing w:before="0" w:after="0" w:line="240" w:lineRule="auto"/>
            </w:pPr>
            <w:r>
              <w:rPr>
                <w:rFonts w:ascii="Georgia" w:hAnsi="Georgia" w:cs="Georgia" w:eastAsia="Georgia"/>
                <w:b/>
                <w:sz w:val="18"/>
              </w:rPr>
              <w:t>Hedge type</w:t>
            </w:r>
          </w:p>
        </w:tc>
        <w:tc>
          <w:tcPr>
            <w:tcW w:type="dxa" w:w="1661"/>
            <w:tcBorders>
              <w:bottom w:val="single" w:sz="4" w:color="000000" w:space="0"/>
            </w:tcBorders>
          </w:tcPr>
          <w:p>
            <w:pPr>
              <w:spacing w:before="0" w:after="0" w:line="240" w:lineRule="auto"/>
            </w:pPr>
            <w:r>
              <w:rPr>
                <w:rFonts w:ascii="Georgia" w:hAnsi="Georgia" w:cs="Georgia" w:eastAsia="Georgia"/>
                <w:b/>
                <w:sz w:val="18"/>
              </w:rPr>
              <w:t>Hedges</w:t>
            </w:r>
          </w:p>
        </w:tc>
        <w:tc>
          <w:tcPr>
            <w:tcW w:type="dxa" w:w="1661"/>
            <w:tcBorders>
              <w:bottom w:val="single" w:sz="4" w:color="000000" w:space="0"/>
            </w:tcBorders>
          </w:tcPr>
          <w:p>
            <w:pPr>
              <w:spacing w:before="0" w:after="0" w:line="240" w:lineRule="auto"/>
            </w:pPr>
            <w:r>
              <w:rPr>
                <w:rFonts w:ascii="Georgia" w:hAnsi="Georgia" w:cs="Georgia" w:eastAsia="Georgia"/>
                <w:b/>
                <w:sz w:val="18"/>
              </w:rPr>
              <w:t>Biology</w:t>
            </w:r>
          </w:p>
        </w:tc>
        <w:tc>
          <w:tcPr>
            <w:tcW w:type="dxa" w:w="1661"/>
            <w:tcBorders>
              <w:bottom w:val="single" w:sz="4" w:color="000000" w:space="0"/>
            </w:tcBorders>
          </w:tcPr>
          <w:p>
            <w:pPr>
              <w:spacing w:before="0" w:after="0" w:line="240" w:lineRule="auto"/>
            </w:pPr>
            <w:r>
              <w:rPr>
                <w:rFonts w:ascii="Georgia" w:hAnsi="Georgia" w:cs="Georgia" w:eastAsia="Georgia"/>
                <w:b/>
                <w:sz w:val="18"/>
              </w:rPr>
              <w:t>Veterinary Medicine</w:t>
            </w:r>
          </w:p>
        </w:tc>
        <w:tc>
          <w:tcPr>
            <w:tcW w:type="dxa" w:w="1661"/>
            <w:tcBorders>
              <w:bottom w:val="single" w:sz="4" w:color="000000" w:space="0"/>
            </w:tcBorders>
          </w:tcPr>
          <w:p>
            <w:pPr>
              <w:spacing w:before="0" w:after="0" w:line="240" w:lineRule="auto"/>
            </w:pPr>
            <w:r>
              <w:rPr>
                <w:rFonts w:ascii="Georgia" w:hAnsi="Georgia" w:cs="Georgia" w:eastAsia="Georgia"/>
                <w:b/>
                <w:sz w:val="18"/>
              </w:rPr>
              <w:t>Agriculture</w:t>
            </w:r>
          </w:p>
        </w:tc>
      </w:tr>
      <w:tr>
        <w:tc>
          <w:tcPr>
            <w:tcW w:type="dxa" w:w="1661"/>
          </w:tcPr>
          <w:p>
            <w:pPr>
              <w:spacing w:before="0" w:after="0" w:line="240" w:lineRule="auto"/>
            </w:pPr>
            <w:r>
              <w:rPr>
                <w:rFonts w:ascii="Georgia" w:hAnsi="Georgia" w:cs="Georgia" w:eastAsia="Georgia"/>
                <w:b w:val="0"/>
                <w:sz w:val="18"/>
              </w:rPr>
              <w:t>Modal verbs</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5</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13</w:t>
            </w:r>
          </w:p>
        </w:tc>
      </w:tr>
      <w:tr>
        <w:tc>
          <w:tcPr>
            <w:tcW w:type="dxa" w:w="1661"/>
          </w:tcPr>
          <w:p>
            <w:pPr>
              <w:spacing w:before="0" w:after="0" w:line="240" w:lineRule="auto"/>
            </w:pPr>
            <w:r>
              <w:rPr>
                <w:rFonts w:ascii="Georgia" w:hAnsi="Georgia" w:cs="Georgia" w:eastAsia="Georgia"/>
                <w:b w:val="0"/>
                <w:sz w:val="18"/>
              </w:rPr>
              <w:t>Lexical hedges</w:t>
            </w:r>
          </w:p>
        </w:tc>
        <w:tc>
          <w:tcPr>
            <w:tcW w:type="dxa" w:w="1661"/>
          </w:tcPr>
          <w:p>
            <w:pPr>
              <w:spacing w:before="0" w:after="0" w:line="240" w:lineRule="auto"/>
            </w:pPr>
            <w:r>
              <w:rPr>
                <w:rFonts w:ascii="Georgia" w:hAnsi="Georgia" w:cs="Georgia" w:eastAsia="Georgia"/>
                <w:b w:val="0"/>
                <w:sz w:val="18"/>
              </w:rPr>
              <w:t>42</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8</w:t>
            </w:r>
          </w:p>
        </w:tc>
        <w:tc>
          <w:tcPr>
            <w:tcW w:type="dxa" w:w="1661"/>
          </w:tcPr>
          <w:p>
            <w:pPr>
              <w:spacing w:before="0" w:after="0" w:line="240" w:lineRule="auto"/>
            </w:pPr>
            <w:r>
              <w:rPr>
                <w:rFonts w:ascii="Georgia" w:hAnsi="Georgia" w:cs="Georgia" w:eastAsia="Georgia"/>
                <w:b w:val="0"/>
                <w:sz w:val="18"/>
              </w:rPr>
              <w:t>14</w:t>
            </w:r>
          </w:p>
        </w:tc>
      </w:tr>
      <w:tr>
        <w:tc>
          <w:tcPr>
            <w:tcW w:type="dxa" w:w="1661"/>
          </w:tcPr>
          <w:p>
            <w:pPr>
              <w:spacing w:before="0" w:after="0" w:line="240" w:lineRule="auto"/>
            </w:pPr>
            <w:r>
              <w:rPr>
                <w:rFonts w:ascii="Georgia" w:hAnsi="Georgia" w:cs="Georgia" w:eastAsia="Georgia"/>
                <w:b w:val="0"/>
                <w:sz w:val="18"/>
              </w:rPr>
              <w:t>Adverbial hedges</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Clause-level hedges</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Total</w:t>
            </w:r>
          </w:p>
        </w:tc>
        <w:tc>
          <w:tcPr>
            <w:tcW w:type="dxa" w:w="1661"/>
          </w:tcPr>
          <w:p>
            <w:pPr>
              <w:spacing w:before="0" w:after="0" w:line="240" w:lineRule="auto"/>
            </w:pPr>
            <w:r>
              <w:rPr>
                <w:rFonts w:ascii="Georgia" w:hAnsi="Georgia" w:cs="Georgia" w:eastAsia="Georgia"/>
                <w:b w:val="0"/>
                <w:sz w:val="18"/>
              </w:rPr>
              <w:t>65</w:t>
            </w:r>
          </w:p>
        </w:tc>
        <w:tc>
          <w:tcPr>
            <w:tcW w:type="dxa" w:w="1661"/>
          </w:tcPr>
          <w:p>
            <w:pPr>
              <w:spacing w:before="0" w:after="0" w:line="240" w:lineRule="auto"/>
            </w:pPr>
            <w:r>
              <w:rPr>
                <w:rFonts w:ascii="Georgia" w:hAnsi="Georgia" w:cs="Georgia" w:eastAsia="Georgia"/>
                <w:b w:val="0"/>
                <w:sz w:val="18"/>
              </w:rPr>
              <w:t>28</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27</w:t>
            </w:r>
          </w:p>
        </w:tc>
      </w:tr>
    </w:tbl>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Pr>
          <w:rFonts w:ascii="Georgia" w:hAnsi="Georgia" w:eastAsia="Georgia" w:cs="Georgia"/>
          <w:b w:val="0"/>
          <w:sz w:val="22"/>
        </w:rPr>
        <w:t>Alongside the 65 retained epistemic caution hedges (and no politeness/deference tokens), the corpus yielded 65 false positive tokens, hedge-like words that failed the claim condition or both removal checks at Step 2. Those retained-hedge and false-positive totals are set out together in Part III.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Pr>
          <w:rFonts w:ascii="Times New Roman" w:hAnsi="Times New Roman" w:eastAsia="Times New Roman" w:cs="Times New Roman"/>
          <w:b w:val="0"/>
          <w:sz w:val="22"/>
        </w:rPr>
        <w:t>Cross-disciplinary comparison shows differences in hedge density, driven mainly by Veterinary Medicine’s lower rate. Table 4 presents the hedge counts, false positives, unhedged assertions, and normalized frequency (hedges per 100 words) for each discipline.</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Times New Roman" w:cs="Georgia"/>
          <w:b/>
          <w:sz w:val="24"/>
        </w:rPr>
        <w:t>Table 4</w:t>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31">
            <w:pPr>
              <w:spacing w:after="0" w:before="0" w:line="480" w:lineRule="auto"/>
              <w:rPr>
                <w:sz w:val="18"/>
                <w:szCs w:val="18"/>
              </w:rPr>
            </w:pPr>
            <w:r w:rsidDel="00000000" w:rsidR="00000000" w:rsidRPr="00000000">
              <w:rPr>
                <w:b w:val="1"/>
                <w:bCs w:val="1"/>
                <w:i w:val="0"/>
                <w:iCs w:val="0"/>
                <w:sz w:val="18"/>
                <w:szCs w:val="18"/>
                <w:rtl w:val="0"/>
              </w:rPr>
              <w:t xml:space="preserve">Discipline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2">
            <w:pPr>
              <w:spacing w:after="0" w:before="0" w:line="480" w:lineRule="auto"/>
              <w:rPr>
                <w:sz w:val="18"/>
                <w:szCs w:val="18"/>
              </w:rPr>
            </w:pPr>
            <w:r w:rsidDel="00000000" w:rsidR="00000000" w:rsidRPr="00000000">
              <w:rPr>
                <w:b w:val="1"/>
                <w:bCs w:val="1"/>
                <w:i w:val="0"/>
                <w:iCs w:val="0"/>
                <w:sz w:val="18"/>
                <w:szCs w:val="18"/>
                <w:rtl w:val="0"/>
              </w:rPr>
              <w:t xml:space="preserve">Abstracts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3">
            <w:pPr>
              <w:spacing w:after="0" w:before="0" w:line="480" w:lineRule="auto"/>
              <w:rPr>
                <w:sz w:val="18"/>
                <w:szCs w:val="18"/>
              </w:rPr>
            </w:pPr>
            <w:r w:rsidDel="00000000" w:rsidR="00000000" w:rsidRPr="00000000">
              <w:rPr>
                <w:b w:val="1"/>
                <w:bCs w:val="1"/>
                <w:i w:val="0"/>
                <w:iCs w:val="0"/>
                <w:sz w:val="18"/>
                <w:szCs w:val="18"/>
                <w:rtl w:val="0"/>
              </w:rPr>
              <w:t xml:space="preserve">Words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4">
            <w:pPr>
              <w:spacing w:after="0" w:before="0" w:line="480" w:lineRule="auto"/>
              <w:rPr>
                <w:sz w:val="18"/>
                <w:szCs w:val="18"/>
              </w:rPr>
            </w:pPr>
            <w:r w:rsidDel="00000000" w:rsidR="00000000" w:rsidRPr="00000000">
              <w:rPr>
                <w:b w:val="1"/>
                <w:bCs w:val="1"/>
                <w:i w:val="0"/>
                <w:iCs w:val="0"/>
                <w:sz w:val="18"/>
                <w:szCs w:val="18"/>
                <w:rtl w:val="0"/>
              </w:rPr>
              <w:t xml:space="preserve">Hedges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5">
            <w:pPr>
              <w:spacing w:after="0" w:before="0" w:line="480" w:lineRule="auto"/>
              <w:rPr>
                <w:sz w:val="18"/>
                <w:szCs w:val="18"/>
              </w:rPr>
            </w:pPr>
            <w:r w:rsidDel="00000000" w:rsidR="00000000" w:rsidRPr="00000000">
              <w:rPr>
                <w:b w:val="1"/>
                <w:bCs w:val="1"/>
                <w:i w:val="0"/>
                <w:iCs w:val="0"/>
                <w:sz w:val="18"/>
                <w:szCs w:val="18"/>
                <w:rtl w:val="0"/>
              </w:rPr>
              <w:t>False positives</w:t>
            </w:r>
          </w:p>
        </w:tc>
        <w:tc>
          <w:tcPr>
            <w:tcBorders>
              <w:top w:color="000000" w:space="0" w:sz="18" w:val="single"/>
              <w:bottom w:color="000000" w:space="0" w:sz="4" w:val="single"/>
            </w:tcBorders>
          </w:tcPr>
          <w:p w:rsidR="00000000" w:rsidDel="00000000" w:rsidP="00000000" w:rsidRDefault="00000000" w:rsidRPr="00000000" w14:paraId="00000136">
            <w:pPr>
              <w:spacing w:after="0" w:before="0" w:line="480" w:lineRule="auto"/>
              <w:jc w:val="center"/>
              <w:rPr>
                <w:sz w:val="18"/>
                <w:szCs w:val="18"/>
              </w:rPr>
            </w:pPr>
            <w:r w:rsidDel="00000000" w:rsidR="00000000" w:rsidRPr="00000000">
              <w:rPr>
                <w:b w:val="1"/>
                <w:bCs w:val="1"/>
                <w:i w:val="0"/>
                <w:iCs w:val="0"/>
                <w:sz w:val="18"/>
                <w:szCs w:val="18"/>
                <w:rtl w:val="0"/>
              </w:rPr>
              <w:t xml:space="preserve">Unhedged</w:t>
              <w:br w:type="textWrapping"/>
              <w:t xml:space="preserve">assertions</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7">
            <w:pPr>
              <w:spacing w:after="0" w:before="0" w:line="480" w:lineRule="auto"/>
              <w:rPr>
                <w:b w:val="1"/>
                <w:bCs w:val="1"/>
                <w:sz w:val="18"/>
                <w:szCs w:val="18"/>
              </w:rPr>
            </w:pPr>
            <w:r w:rsidDel="00000000" w:rsidR="00000000" w:rsidRPr="00000000">
              <w:rPr>
                <w:b w:val="1"/>
                <w:bCs w:val="1"/>
                <w:i w:val="0"/>
                <w:iCs w:val="0"/>
                <w:sz w:val="18"/>
                <w:szCs w:val="18"/>
                <w:rtl w:val="0"/>
              </w:rPr>
              <w:t xml:space="preserve">Zero-</w:t>
            </w:r>
            <w:r w:rsidDel="00000000" w:rsidR="00000000" w:rsidRPr="00000000">
              <w:rPr>
                <w:rtl w:val="0"/>
              </w:rPr>
            </w:r>
          </w:p>
          <w:p w:rsidR="00000000" w:rsidDel="00000000" w:rsidP="00000000" w:rsidRDefault="00000000" w:rsidRPr="00000000" w14:paraId="00000138">
            <w:pPr>
              <w:spacing w:after="0" w:before="0" w:line="480" w:lineRule="auto"/>
              <w:rPr>
                <w:sz w:val="18"/>
                <w:szCs w:val="18"/>
              </w:rPr>
            </w:pPr>
            <w:r w:rsidDel="00000000" w:rsidR="00000000" w:rsidRPr="00000000">
              <w:rPr>
                <w:b w:val="1"/>
                <w:bCs w:val="1"/>
                <w:i w:val="0"/>
                <w:iCs w:val="0"/>
                <w:sz w:val="18"/>
                <w:szCs w:val="18"/>
                <w:rtl w:val="0"/>
              </w:rPr>
              <w:t xml:space="preserve">Hedge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39">
            <w:pPr>
              <w:spacing w:after="0" w:before="0" w:line="480" w:lineRule="auto"/>
              <w:rPr>
                <w:b w:val="1"/>
                <w:bCs w:val="1"/>
                <w:i w:val="0"/>
                <w:iCs w:val="0"/>
                <w:sz w:val="18"/>
                <w:szCs w:val="18"/>
              </w:rPr>
            </w:pPr>
            <w:r w:rsidDel="00000000" w:rsidR="00000000" w:rsidRPr="00000000">
              <w:rPr>
                <w:b w:val="1"/>
                <w:bCs w:val="1"/>
                <w:i w:val="0"/>
                <w:iCs w:val="0"/>
                <w:sz w:val="18"/>
                <w:szCs w:val="18"/>
                <w:rtl w:val="0"/>
              </w:rPr>
              <w:t xml:space="preserve">Hedges/</w:t>
            </w:r>
          </w:p>
          <w:p w:rsidR="00000000" w:rsidDel="00000000" w:rsidP="00000000" w:rsidRDefault="00000000" w:rsidRPr="00000000" w14:paraId="0000013A">
            <w:pPr>
              <w:spacing w:after="0" w:before="0" w:line="480" w:lineRule="auto"/>
              <w:rPr>
                <w:sz w:val="18"/>
                <w:szCs w:val="18"/>
              </w:rPr>
            </w:pPr>
            <w:r w:rsidDel="00000000" w:rsidR="00000000" w:rsidRPr="00000000">
              <w:rPr>
                <w:b w:val="1"/>
                <w:bCs w:val="1"/>
                <w:i w:val="0"/>
                <w:iCs w:val="0"/>
                <w:sz w:val="18"/>
                <w:szCs w:val="18"/>
                <w:rtl w:val="0"/>
              </w:rPr>
              <w:t xml:space="preserve">100w</w:t>
            </w:r>
            <w:r w:rsidDel="00000000" w:rsidR="00000000" w:rsidRPr="00000000">
              <w:rPr>
                <w:rtl w:val="0"/>
              </w:rPr>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53">
            <w:pPr>
              <w:spacing w:after="0" w:before="0" w:line="480" w:lineRule="auto"/>
              <w:rPr>
                <w:sz w:val="18"/>
                <w:szCs w:val="18"/>
              </w:rPr>
            </w:pPr>
            <w:r w:rsidDel="00000000" w:rsidR="00000000" w:rsidRPr="00000000">
              <w:rPr>
                <w:i w:val="0"/>
                <w:iCs w:val="0"/>
                <w:sz w:val="18"/>
                <w:szCs w:val="18"/>
                <w:rtl w:val="0"/>
              </w:rPr>
              <w:t xml:space="preserve">Total</w:t>
            </w:r>
            <w:r w:rsidDel="00000000" w:rsidR="00000000" w:rsidRPr="00000000">
              <w:rPr>
                <w:rtl w:val="0"/>
              </w:rPr>
            </w:r>
          </w:p>
        </w:tc>
        <w:tc>
          <w:tcPr>
            <w:tcBorders>
              <w:bottom w:color="000000" w:space="0" w:sz="18" w:val="single"/>
            </w:tcBorders>
          </w:tcPr>
          <w:p w:rsidR="00000000" w:rsidDel="00000000" w:rsidP="00000000" w:rsidRDefault="00000000" w:rsidRPr="00000000" w14:paraId="00000154">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c>
          <w:tcPr>
            <w:tcBorders>
              <w:bottom w:color="000000" w:space="0" w:sz="18" w:val="single"/>
            </w:tcBorders>
          </w:tcPr>
          <w:p w:rsidR="00000000" w:rsidDel="00000000" w:rsidP="00000000" w:rsidRDefault="00000000" w:rsidRPr="00000000" w14:paraId="00000155">
            <w:pPr>
              <w:spacing w:after="0" w:before="0" w:line="480" w:lineRule="auto"/>
              <w:rPr>
                <w:sz w:val="18"/>
                <w:szCs w:val="18"/>
              </w:rPr>
            </w:pPr>
            <w:r w:rsidDel="00000000" w:rsidR="00000000" w:rsidRPr="00000000">
              <w:rPr>
                <w:i w:val="0"/>
                <w:iCs w:val="0"/>
                <w:sz w:val="18"/>
                <w:szCs w:val="18"/>
                <w:rtl w:val="0"/>
              </w:rPr>
              <w:t xml:space="preserve">13,869</w:t>
            </w:r>
            <w:r w:rsidDel="00000000" w:rsidR="00000000" w:rsidRPr="00000000">
              <w:rPr>
                <w:rtl w:val="0"/>
              </w:rPr>
            </w:r>
          </w:p>
        </w:tc>
        <w:tc>
          <w:tcPr>
            <w:tcBorders>
              <w:bottom w:color="000000" w:space="0" w:sz="18" w:val="single"/>
            </w:tcBorders>
          </w:tcPr>
          <w:p w:rsidR="00000000" w:rsidDel="00000000" w:rsidP="00000000" w:rsidRDefault="00000000" w:rsidRPr="00000000" w14:paraId="00000156">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7">
            <w:pPr>
              <w:spacing w:after="0" w:before="0" w:line="480" w:lineRule="auto"/>
              <w:rPr>
                <w:sz w:val="18"/>
                <w:szCs w:val="18"/>
              </w:rPr>
            </w:pPr>
            <w:r w:rsidDel="00000000" w:rsidR="00000000" w:rsidRPr="00000000">
              <w:rPr>
                <w:sz w:val="18"/>
                <w:szCs w:val="18"/>
                <w:rtl w:val="0"/>
              </w:rPr>
              <w:t xml:space="preserve">65</w:t>
            </w:r>
          </w:p>
        </w:tc>
        <w:tc>
          <w:tcPr>
            <w:tcBorders>
              <w:bottom w:color="000000" w:space="0" w:sz="18" w:val="single"/>
            </w:tcBorders>
          </w:tcPr>
          <w:p w:rsidR="00000000" w:rsidDel="00000000" w:rsidP="00000000" w:rsidRDefault="00000000" w:rsidRPr="00000000" w14:paraId="00000158">
            <w:pPr>
              <w:spacing w:after="0" w:before="0" w:line="480" w:lineRule="auto"/>
              <w:rPr>
                <w:sz w:val="18"/>
                <w:szCs w:val="18"/>
              </w:rPr>
            </w:pPr>
            <w:r w:rsidDel="00000000" w:rsidR="00000000" w:rsidRPr="00000000">
              <w:rPr>
                <w:i w:val="0"/>
                <w:iCs w:val="0"/>
                <w:sz w:val="18"/>
                <w:szCs w:val="18"/>
                <w:rtl w:val="0"/>
              </w:rPr>
              <w:t xml:space="preserve">14</w:t>
            </w:r>
            <w:r w:rsidDel="00000000" w:rsidR="00000000" w:rsidRPr="00000000">
              <w:rPr>
                <w:rtl w:val="0"/>
              </w:rPr>
            </w:r>
          </w:p>
        </w:tc>
        <w:tc>
          <w:tcPr>
            <w:tcBorders>
              <w:bottom w:color="000000" w:space="0" w:sz="18" w:val="single"/>
            </w:tcBorders>
          </w:tcPr>
          <w:p w:rsidR="00000000" w:rsidDel="00000000" w:rsidP="00000000" w:rsidRDefault="00000000" w:rsidRPr="00000000" w14:paraId="00000159">
            <w:pPr>
              <w:spacing w:after="0" w:before="0" w:line="480" w:lineRule="auto"/>
              <w:rPr>
                <w:sz w:val="18"/>
                <w:szCs w:val="18"/>
              </w:rPr>
            </w:pPr>
            <w:r w:rsidDel="00000000" w:rsidR="00000000" w:rsidRPr="00000000">
              <w:rPr>
                <w:i w:val="0"/>
                <w:iCs w:val="0"/>
                <w:sz w:val="18"/>
                <w:szCs w:val="18"/>
                <w:rtl w:val="0"/>
              </w:rPr>
              <w:t xml:space="preserve">25</w:t>
            </w:r>
            <w:r w:rsidDel="00000000" w:rsidR="00000000" w:rsidRPr="00000000">
              <w:rPr>
                <w:rtl w:val="0"/>
              </w:rPr>
            </w:r>
          </w:p>
        </w:tc>
        <w:tc>
          <w:tcPr>
            <w:tcBorders>
              <w:bottom w:color="000000" w:space="0" w:sz="18" w:val="single"/>
            </w:tcBorders>
          </w:tcPr>
          <w:p w:rsidR="00000000" w:rsidDel="00000000" w:rsidP="00000000" w:rsidRDefault="00000000" w:rsidRPr="00000000" w14:paraId="0000015A">
            <w:pPr>
              <w:spacing w:after="0" w:before="0" w:line="480" w:lineRule="auto"/>
              <w:rPr>
                <w:sz w:val="18"/>
                <w:szCs w:val="18"/>
              </w:rPr>
            </w:pPr>
            <w:r w:rsidDel="00000000" w:rsidR="00000000" w:rsidRPr="00000000">
              <w:rPr>
                <w:sz w:val="18"/>
                <w:szCs w:val="18"/>
                <w:rtl w:val="0"/>
              </w:rPr>
              <w:t xml:space="preserve">0.47</w:t>
            </w:r>
          </w:p>
        </w:tc>
      </w:tr>
    </w:tbl>
    <w:p w:rsidR="00000000" w:rsidDel="00000000" w:rsidP="00000000" w:rsidRDefault="00000000" w:rsidRPr="00000000" w14:paraId="0000015B">
      <w:pPr>
        <w:spacing w:after="0" w:before="240" w:line="480" w:lineRule="auto"/>
        <w:ind w:firstLine="720"/>
        <w:jc w:val="both"/>
        <w:rPr/>
      </w:pPr>
      <w:r>
        <w:rPr>
          <w:rFonts w:ascii="Times New Roman" w:hAnsi="Times New Roman" w:eastAsia="Times New Roman" w:cs="Times New Roman"/>
          <w:b w:val="0"/>
          <w:sz w:val="22"/>
        </w:rPr>
        <w:t>Table 4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Fonts w:ascii="Times New Roman" w:hAnsi="Times New Roman" w:cs="Times New Roman"/>
          <w:b w:val="0"/>
          <w:sz w:val="22"/>
          <w:rtl w:val="0"/>
        </w:rPr>
        <w:t>Veterinary Medicine's low density is more difficult to interpret. Many VM abstracts in this corpus reported clinical findings from animal studies (e.g., drug efficacy trials, disease detection, hematological profiling). Outcome-type coding later in this chapter tests the obvious explanation—that VM abstracts mostly report binary results—and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Pr>
          <w:rFonts w:ascii="Times New Roman" w:hAnsi="Times New Roman" w:eastAsia="Times New Roman" w:cs="Times New Roman"/>
          <w:b w:val="0"/>
          <w:sz w:val="22"/>
        </w:rPr>
        <w:t>Table 5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ind w:firstLine="0"/>
        <w:jc w:val="center"/>
        <w:rPr/>
      </w:pPr>
      <w:r>
        <w:rPr>
          <w:rFonts w:ascii="Georgia" w:hAnsi="Georgia" w:eastAsia="Georgia" w:cs="Georgia"/>
          <w:b/>
          <w:sz w:val="24"/>
        </w:rPr>
        <w:t>Table 5</w:t>
      </w:r>
    </w:p>
    <w:p w:rsidR="00000000" w:rsidDel="00000000" w:rsidP="00000000" w:rsidRDefault="00000000" w:rsidRPr="00000000" w14:paraId="00000164">
      <w:pPr>
        <w:keepNext w:val="1"/>
        <w:spacing w:after="60" w:before="0" w:line="480" w:lineRule="auto"/>
        <w:jc w:val="center"/>
        <w:rPr/>
      </w:pPr>
      <w:r w:rsidDel="00000000" w:rsidR="00000000" w:rsidRPr="00000000">
        <w:rPr>
          <w:rtl w:val="0"/>
        </w:rPr>
        <w:t>Step 2 Outcomes: Epistemic Caution, Politeness/Deference, and False Positives (Candidate Pool)</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65">
            <w:pPr>
              <w:spacing w:after="0" w:before="0" w:line="480" w:lineRule="auto"/>
              <w:rPr>
                <w:sz w:val="18"/>
                <w:szCs w:val="18"/>
              </w:rPr>
            </w:pPr>
            <w:r w:rsidDel="00000000" w:rsidR="00000000" w:rsidRPr="00000000">
              <w:rPr>
                <w:b w:val="1"/>
                <w:bCs w:val="1"/>
                <w:i w:val="0"/>
                <w:iCs w:val="0"/>
                <w:sz w:val="18"/>
                <w:szCs w:val="18"/>
                <w:rtl w:val="0"/>
              </w:rPr>
              <w:t xml:space="preserve">Step 2 outcome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6">
            <w:pPr>
              <w:spacing w:after="0" w:before="0" w:line="480" w:lineRule="auto"/>
              <w:rPr>
                <w:sz w:val="18"/>
                <w:szCs w:val="18"/>
              </w:rPr>
            </w:pPr>
            <w:r w:rsidDel="00000000" w:rsidR="00000000" w:rsidRPr="00000000">
              <w:rPr>
                <w:b w:val="1"/>
                <w:bCs w:val="1"/>
                <w:i w:val="0"/>
                <w:iCs w:val="0"/>
                <w:sz w:val="18"/>
                <w:szCs w:val="18"/>
                <w:rtl w:val="0"/>
              </w:rPr>
              <w:t xml:space="preserve">Count</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67">
            <w:pPr>
              <w:spacing w:after="0" w:before="0" w:line="480" w:lineRule="auto"/>
              <w:rPr>
                <w:sz w:val="18"/>
                <w:szCs w:val="18"/>
              </w:rPr>
            </w:pPr>
            <w:r w:rsidDel="00000000" w:rsidR="00000000" w:rsidRPr="00000000">
              <w:rPr>
                <w:b w:val="1"/>
                <w:bCs w:val="1"/>
                <w:i w:val="0"/>
                <w:iCs w:val="0"/>
                <w:sz w:val="18"/>
                <w:szCs w:val="18"/>
                <w:rtl w:val="0"/>
              </w:rPr>
              <w:t xml:space="preserve">Note</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before="0" w:line="480" w:lineRule="auto"/>
              <w:rPr>
                <w:sz w:val="18"/>
                <w:szCs w:val="18"/>
              </w:rPr>
            </w:pPr>
            <w:r w:rsidDel="00000000" w:rsidR="00000000" w:rsidRPr="00000000">
              <w:rPr>
                <w:sz w:val="18"/>
                <w:szCs w:val="18"/>
                <w:rtl w:val="0"/>
              </w:rPr>
              <w:t>Epistemic caution , retained</w:t>
            </w:r>
          </w:p>
        </w:tc>
        <w:tc>
          <w:tcPr/>
          <w:p w:rsidR="00000000" w:rsidDel="00000000" w:rsidP="00000000" w:rsidRDefault="00000000" w:rsidRPr="00000000" w14:paraId="00000169">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6A">
            <w:pPr>
              <w:spacing w:after="0" w:before="0" w:line="480" w:lineRule="auto"/>
              <w:rPr>
                <w:sz w:val="18"/>
                <w:szCs w:val="18"/>
              </w:rPr>
            </w:pPr>
            <w:r w:rsidDel="00000000" w:rsidR="00000000" w:rsidRPr="00000000">
              <w:rPr>
                <w:i w:val="0"/>
                <w:iCs w:val="0"/>
                <w:sz w:val="18"/>
                <w:szCs w:val="18"/>
                <w:rtl w:val="0"/>
              </w:rPr>
              <w:t xml:space="preserve">Passed Working Test</w:t>
            </w:r>
            <w:r w:rsidDel="00000000" w:rsidR="00000000" w:rsidRPr="00000000">
              <w:rPr>
                <w:rtl w:val="0"/>
              </w:rPr>
            </w:r>
          </w:p>
        </w:tc>
      </w:tr>
      <w:tr>
        <w:trPr>
          <w:cantSplit w:val="1"/>
          <w:tblHeader w:val="0"/>
        </w:trPr>
        <w:tc>
          <w:tcPr/>
          <w:p w:rsidR="00000000" w:rsidDel="00000000" w:rsidP="00000000" w:rsidRDefault="00000000" w:rsidRPr="00000000" w14:paraId="0000016B">
            <w:pPr>
              <w:spacing w:after="0" w:before="0" w:line="480" w:lineRule="auto"/>
              <w:rPr>
                <w:sz w:val="18"/>
                <w:szCs w:val="18"/>
              </w:rPr>
            </w:pPr>
            <w:r w:rsidDel="00000000" w:rsidR="00000000" w:rsidRPr="00000000">
              <w:rPr>
                <w:sz w:val="18"/>
                <w:szCs w:val="18"/>
                <w:rtl w:val="0"/>
              </w:rPr>
              <w:t>Politeness/deference , retained</w:t>
            </w:r>
          </w:p>
        </w:tc>
        <w:tc>
          <w:tcPr/>
          <w:p w:rsidR="00000000" w:rsidDel="00000000" w:rsidP="00000000" w:rsidRDefault="00000000" w:rsidRPr="00000000" w14:paraId="0000016C">
            <w:pPr>
              <w:spacing w:after="0" w:before="0" w:line="480" w:lineRule="auto"/>
              <w:rPr>
                <w:sz w:val="18"/>
                <w:szCs w:val="18"/>
              </w:rPr>
            </w:pPr>
            <w:r w:rsidDel="00000000" w:rsidR="00000000" w:rsidRPr="00000000">
              <w:rPr>
                <w:i w:val="0"/>
                <w:iCs w:val="0"/>
                <w:sz w:val="18"/>
                <w:szCs w:val="18"/>
                <w:rtl w:val="0"/>
              </w:rPr>
              <w:t xml:space="preserve">0</w:t>
            </w:r>
            <w:r w:rsidDel="00000000" w:rsidR="00000000" w:rsidRPr="00000000">
              <w:rPr>
                <w:rtl w:val="0"/>
              </w:rPr>
            </w:r>
          </w:p>
        </w:tc>
        <w:tc>
          <w:tcPr/>
          <w:p w:rsidR="00000000" w:rsidDel="00000000" w:rsidP="00000000" w:rsidRDefault="00000000" w:rsidRPr="00000000" w14:paraId="0000016D">
            <w:pPr>
              <w:spacing w:after="0" w:before="0" w:line="480" w:lineRule="auto"/>
              <w:rPr>
                <w:sz w:val="18"/>
                <w:szCs w:val="18"/>
              </w:rPr>
            </w:pPr>
            <w:r w:rsidDel="00000000" w:rsidR="00000000" w:rsidRPr="00000000">
              <w:rPr>
                <w:i w:val="0"/>
                <w:iCs w:val="0"/>
                <w:sz w:val="18"/>
                <w:szCs w:val="18"/>
                <w:rtl w:val="0"/>
              </w:rPr>
              <w:t xml:space="preserve">Null in this sample</w:t>
            </w:r>
            <w:r w:rsidDel="00000000" w:rsidR="00000000" w:rsidRPr="00000000">
              <w:rPr>
                <w:rtl w:val="0"/>
              </w:rPr>
            </w:r>
          </w:p>
        </w:tc>
      </w:tr>
      <w:tr>
        <w:trPr>
          <w:cantSplit w:val="1"/>
          <w:tblHeader w:val="0"/>
        </w:trPr>
        <w:tc>
          <w:tcPr/>
          <w:p w:rsidR="00000000" w:rsidDel="00000000" w:rsidP="00000000" w:rsidRDefault="00000000" w:rsidRPr="00000000" w14:paraId="0000016E">
            <w:pPr>
              <w:spacing w:after="0" w:before="0" w:line="480" w:lineRule="auto"/>
              <w:rPr>
                <w:sz w:val="18"/>
                <w:szCs w:val="18"/>
              </w:rPr>
            </w:pPr>
            <w:r w:rsidDel="00000000" w:rsidR="00000000" w:rsidRPr="00000000">
              <w:rPr>
                <w:i w:val="0"/>
                <w:iCs w:val="0"/>
                <w:sz w:val="18"/>
                <w:szCs w:val="18"/>
                <w:rtl w:val="0"/>
              </w:rPr>
              <w:t>False positive</w:t>
            </w:r>
          </w:p>
        </w:tc>
        <w:tc>
          <w:tcPr/>
          <w:p w:rsidR="00000000" w:rsidDel="00000000" w:rsidP="00000000" w:rsidRDefault="00000000" w:rsidRPr="00000000" w14:paraId="0000016F">
            <w:pPr>
              <w:spacing w:after="0" w:before="0" w:line="48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170">
            <w:pPr>
              <w:spacing w:after="0" w:before="0" w:line="480" w:lineRule="auto"/>
              <w:rPr>
                <w:sz w:val="18"/>
                <w:szCs w:val="18"/>
              </w:rPr>
            </w:pPr>
            <w:r w:rsidDel="00000000" w:rsidR="00000000" w:rsidRPr="00000000">
              <w:rPr>
                <w:sz w:val="18"/>
                <w:szCs w:val="18"/>
                <w:rtl w:val="0"/>
              </w:rPr>
              <w:t xml:space="preserve">Not retained, not a function</w:t>
            </w:r>
          </w:p>
        </w:tc>
      </w:tr>
      <w:tr>
        <w:trPr>
          <w:cantSplit w:val="1"/>
          <w:tblHeader w:val="0"/>
        </w:trPr>
        <w:tc>
          <w:tcPr>
            <w:tcBorders>
              <w:bottom w:color="000000" w:space="0" w:sz="18" w:val="single"/>
            </w:tcBorders>
          </w:tcPr>
          <w:p w:rsidR="00000000" w:rsidDel="00000000" w:rsidP="00000000" w:rsidRDefault="00000000" w:rsidRPr="00000000" w14:paraId="00000171">
            <w:pPr>
              <w:spacing w:after="0" w:before="0" w:line="480" w:lineRule="auto"/>
              <w:rPr>
                <w:sz w:val="18"/>
                <w:szCs w:val="18"/>
              </w:rPr>
            </w:pPr>
            <w:r w:rsidDel="00000000" w:rsidR="00000000" w:rsidRPr="00000000">
              <w:rPr>
                <w:i w:val="0"/>
                <w:iCs w:val="0"/>
                <w:sz w:val="18"/>
                <w:szCs w:val="18"/>
                <w:rtl w:val="0"/>
              </w:rPr>
              <w:t xml:space="preserve">Total candidate decisions</w:t>
            </w:r>
            <w:r w:rsidDel="00000000" w:rsidR="00000000" w:rsidRPr="00000000">
              <w:rPr>
                <w:rtl w:val="0"/>
              </w:rPr>
            </w:r>
          </w:p>
        </w:tc>
        <w:tc>
          <w:tcPr>
            <w:tcBorders>
              <w:bottom w:color="000000" w:space="0" w:sz="18" w:val="single"/>
            </w:tcBorders>
          </w:tcPr>
          <w:p w:rsidR="00000000" w:rsidDel="00000000" w:rsidP="00000000" w:rsidRDefault="00000000" w:rsidRPr="00000000" w14:paraId="00000172">
            <w:pPr>
              <w:spacing w:after="0" w:before="0" w:line="480" w:lineRule="auto"/>
              <w:rPr>
                <w:sz w:val="18"/>
                <w:szCs w:val="18"/>
              </w:rPr>
            </w:pPr>
            <w:r w:rsidDel="00000000" w:rsidR="00000000" w:rsidRPr="00000000">
              <w:rPr>
                <w:sz w:val="18"/>
                <w:szCs w:val="18"/>
                <w:rtl w:val="0"/>
              </w:rPr>
              <w:t xml:space="preserve">130</w:t>
            </w:r>
          </w:p>
        </w:tc>
        <w:tc>
          <w:tcPr>
            <w:tcBorders>
              <w:bottom w:color="000000" w:space="0" w:sz="18" w:val="single"/>
            </w:tcBorders>
          </w:tcPr>
          <w:p w:rsidR="00000000" w:rsidDel="00000000" w:rsidP="00000000" w:rsidRDefault="00000000" w:rsidRPr="00000000" w14:paraId="00000173">
            <w:pPr>
              <w:spacing w:after="0" w:before="0" w:line="480" w:lineRule="auto"/>
              <w:rPr>
                <w:sz w:val="18"/>
                <w:szCs w:val="18"/>
              </w:rPr>
            </w:pPr>
            <w:r w:rsidDel="00000000" w:rsidR="00000000" w:rsidRPr="00000000">
              <w:rPr>
                <w:sz w:val="18"/>
                <w:szCs w:val="18"/>
                <w:rtl w:val="0"/>
              </w:rPr>
              <w:t>Logged candidates only (65 retained + 65 false positive), not a second hedge count</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ind w:firstLine="0"/>
        <w:jc w:val="center"/>
        <w:rPr/>
      </w:pPr>
      <w:r>
        <w:rPr>
          <w:rFonts w:ascii="Georgia" w:hAnsi="Georgia" w:eastAsia="Georgia" w:cs="Georgia"/>
          <w:b/>
          <w:sz w:val="24"/>
        </w:rPr>
        <w:t>Table 6</w:t>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Pr>
          <w:rFonts w:ascii="Times New Roman" w:hAnsi="Times New Roman" w:eastAsia="Times New Roman" w:cs="Times New Roman"/>
          <w:b w:val="0"/>
          <w:sz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6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Pr>
          <w:rFonts w:ascii="Times New Roman" w:hAnsi="Times New Roman" w:eastAsia="Times New Roman" w:cs="Times New Roman"/>
          <w:b w:val="0"/>
          <w:sz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4),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