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rPr>
          <w:cantSplit/>
        </w:trP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rPr>
          <w:cantSplit/>
        </w:trP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rPr>
          <w:cantSplit/>
        </w:trP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rPr>
          <w:cantSplit/>
        </w:trP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rPr>
          <w:cantSplit/>
        </w:trP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rPr>
          <w:cantSplit/>
        </w:trP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rPr>
          <w:cantSplit/>
        </w:trP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rPr>
          <w:cantSplit/>
        </w:trP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the coding retained 65 hedge tokens, or about 1.08 hedges per abstract. That rate is lower than the 2.04 hedges per abstract Hu and Cao (2011) reported for English-medium applied-linguistics journal abstracts, though the fields and the writers are not the same. The comparison is useful only as a rough external benchmark: it situates this undergraduate life-science sample as leaner in hedge use than that published linguistics baseline,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rPr>
          <w:cantSplit/>
        </w:trP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eastAsia="Georgia"/>
          <w:sz w:val="22"/>
        </w:rPr>
        <w:t>Lexical hedges account for most of the inventory (42 of 65 tokens). Modal verbs follow with 20 tokens. Adverbial hedges are rare (3 tokens, all potentially, and all in Biology). Clause-level hedges do not appear at all. Within the lexical set, potential is the single most frequent form (19 instances), followed by the suggest family (suggest / suggests / suggesting, 13 instances). Modal use is concentrated in can, could, may, and might, with Agriculture supplying most of the can tokens.</w:t>
      </w:r>
    </w:p>
    <w:p>
      <w:pPr>
        <w:spacing w:line="480" w:lineRule="auto" w:before="0" w:after="0"/>
        <w:ind w:firstLine="720"/>
        <w:jc w:val="both"/>
      </w:pPr>
      <w:r>
        <w:rPr>
          <w:rFonts w:ascii="Georgia" w:hAnsi="Georgia" w:eastAsia="Georgia"/>
          <w:sz w:val="22"/>
        </w:rPr>
        <w:t>The three programs do not share the same type mix. Agriculture is nearly balanced between modal verbs (13) and lexical hedges (14). Biology is strongly lexical (20 of 28 tokens), with only five modal verbs. Veterinary Medicine’s total is small (10 tokens) and also mainly lexical (8), with only two modal verbs. In short, the formal repertoire is narrow corpus-wide, and the main cross-program difference at this level is how much of that small repertoire is modal rather than lexical, not whether writers draw on a wide set of hedge types.</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eastAsia="Georgia"/>
          <w:sz w:val="22"/>
        </w:rPr>
        <w:t>Part II turns from the formal inventory to how much caution the abstracts actually display. The question is comparative: how dense are retained hedges across Agriculture, Veterinary Medicine, and Biology, and what else sits beside those counts on the same ledger. Table 4 reports, for each discipline, abstract and word totals, retained hedges, hedges per 100 words, zero-hedge abstracts, false positives, and unhedged claims.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rPr>
          <w:cantSplit/>
        </w:trP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rPr>
          <w:cantSplit/>
        </w:trP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rPr>
          <w:cantSplit/>
        </w:trP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rPr>
          <w:cantSplit/>
        </w:trP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rPr>
          <w:cantSplit/>
        </w:trP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eastAsia="Georgia"/>
          <w:sz w:val="22"/>
        </w:rPr>
        <w:t>On density, Biology and Agriculture sit close together. Biology shows 0.62 hedges per 100 words (28 hedges across 4,509 words). Agriculture shows 0.63 (27 hedges across 4,300 words). Veterinary Medicine sits well below both, at 0.20 (10 hedges across 5,060 words). The corpus as a whole averages 0.47 hedges per 100 words. For practical reading of the table, the Agriculture–Biology gap is negligible. Veterinary Medicine is the low-density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Zero-hedge abstracts make that contrast sharper. Of the 60 abstracts, 25 contain no retained hedge token. Veterinary Medicine accounts for 12 of those 25 (12 of 20 VM abstracts). Agriculture accounts for 8 (8 of 20), and Biology for 5 (5 of 20). The overrepresentation of Veterinary Medicine in the zero-hedge set is the main structural reason its density stays low: more than half of the VM abstracts contribute nothing to the hedge count, while Biology and Agriculture more often contribute at least one token.</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ind w:firstLine="0"/>
        <w:jc w:val="center"/>
      </w:pPr>
      <w:r>
        <w:rPr>
          <w:b/>
          <w:sz w:val="22"/>
        </w:rPr>
        <w:t>Table 4.1</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rPr>
          <w:cantSplit/>
        </w:trP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rPr>
          <w:cantSplit/>
        </w:trP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rPr>
          <w:cantSplit/>
        </w:trP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A limited count of assertive reporting forms in the 25 zero-hedge abstracts found recurring items such as showed, revealed, observed, and highest (79 tokens in total, about 3.2 per abstract). These are reporting verbs and a superlative, not a closed booster checklist. The same count was not run on the 35 abstracts that contain at least one hedge, so the figure describes the zero-hedge subset only. It shows how those abstracts often report findings in direct, unqualified wording. It does not support a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Per-abstract counts are skewed, especially in Agriculture. Agriculture averages 1.35 hedges per abstract (median 1, range 0–8). Biology averages 1.40 (median 1, range 0–5). Veterinary Medicine averages 0.50 (median 0, range 0–3). Agriculture’s high standard deviation (1.87) is driven largely by Acs2, which alone carries 8 hedges. When Acs2 is set aside as a sensitivity check, Agriculture’s density falls to 0.46 hedges per 100 words and no longer sits above Biology. Any simple ranking that places Agriculture above Biology on density is therefore partly an Acs2 effect.</w:t>
      </w:r>
    </w:p>
    <w:p>
      <w:pPr>
        <w:spacing w:line="480" w:lineRule="auto" w:before="0" w:after="0"/>
        <w:ind w:firstLine="720"/>
        <w:jc w:val="both"/>
      </w:pPr>
      <w:r>
        <w:rPr>
          <w:rFonts w:ascii="Georgia" w:hAnsi="Georgia" w:eastAsia="Georgia"/>
          <w:sz w:val="22"/>
        </w:rPr>
        <w:t>Two further cautions apply to reading the discipline means. Abstracts within a program may share advisers, so the observations are not fully independent, and within-discipline spread remains larger than the gaps between means. Removing all 19 instances of potential leaves 46 hedges in the corpus, and Veterinary Medicine’s share of zero-hedge abstracts rises further. Low hedge density is widely reported in undergraduate and L2 academic writing (Hyland &amp; Milton, 1997; Qiu et al., 2024). In this PSAU sample the sharpest descriptive contrast is between Biology and Veterinary Medicine. It is a local pattern in ratified English abstracts.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frequency pattern only partly matches prior cross-disciplinary work. Afshar et al. (2014) found agriculture using the fewest hedges among expert research articles. Here Agriculture is level with Biology in the full sample and ranks first only because of Acs2. Without that abstract it falls below Biology, which sits closer to Afshar et al.’s direction. Expert research articles and undergraduate abstracts are different genres, so the comparison stays loose. What the present table can support is a local ranking under one institutional coding scheme, not a general claim about agricultural writing worldwide.</w:t>
      </w:r>
    </w:p>
    <w:p w:rsidR="00000000" w:rsidDel="00000000" w:rsidP="00000000" w:rsidRDefault="00000000" w:rsidRPr="00000000" w14:paraId="0000015F">
      <w:pPr>
        <w:spacing w:after="0" w:before="0" w:line="480" w:lineRule="auto"/>
        <w:ind w:firstLine="720"/>
        <w:jc w:val="both"/>
        <w:rPr/>
      </w:pPr>
      <w:r>
        <w:rPr>
          <w:rFonts w:ascii="Georgia" w:hAnsi="Georgia" w:eastAsia="Georgia"/>
          <w:sz w:val="22"/>
        </w:rPr>
        <w:t>Veterinary Medicine’s low density needs a careful reading. Many VM abstracts in this corpus report clinical findings from animal studies, including drug-efficacy trials, disease detection, and hematological profiling. Binary or presence-style results are common in that set, but they do not fully explain the gap: Biology abstracts with binary results still show more epistemic softening than VM abstracts with a similar results style. The low rate is better treated as a VM pattern in this institutional corpus. It is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discipline, and the direction is not the same as for retained hedges. Biology produced 34 false positives, compared with 17 in Agriculture and 14 in Veterinary Medicine. The Biology excess is tied in part to more instances of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is both relatively dense in retained hedges and rich in rejected lookalikes, while Veterinary Medicine is low on both retained hedges and false positives.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pPr>
        <w:spacing w:line="480" w:lineRule="auto" w:before="240" w:after="0"/>
        <w:ind w:firstLine="0"/>
        <w:jc w:val="left"/>
      </w:pPr>
      <w:r>
        <w:rPr>
          <w:rFonts w:ascii="Georgia" w:hAnsi="Georgia" w:eastAsia="Georgia"/>
          <w:b/>
          <w:sz w:val="22"/>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Part III asks what retained hedges do when they appear, and how the coding scheme separates them from lookalike forms. Table 5 reports the Step 2 outcomes for the candidate pool. Every retained token was coded as epistemic caution.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eastAsia="Georgia"/>
          <w:sz w:val="22"/>
        </w:rPr>
        <w:t>That uniformity is a consequence of the Step 2 rule, not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rsidR="00000000" w:rsidDel="00000000" w:rsidP="00000000" w:rsidRDefault="00000000" w:rsidRPr="00000000" w14:paraId="00000176">
      <w:pPr>
        <w:spacing w:after="0" w:before="0" w:line="480" w:lineRule="auto"/>
        <w:ind w:firstLine="720"/>
        <w:jc w:val="both"/>
        <w:rPr/>
      </w:pPr>
      <w:r>
        <w:rPr>
          <w:rFonts w:ascii="Georgia" w:hAnsi="Georgia" w:eastAsia="Georgia"/>
          <w:sz w:val="22"/>
        </w:rPr>
        <w:t>Taken together, the English of these abstracts adjusts the epistemic weight of findings and implications when hedges are retained. It does not show retained hedges doing interpersonal softening of those claims. The stance repertoire that survives Step 2 is functionally narrow and centered on the proposition.</w:t>
      </w:r>
    </w:p>
    <w:p>
      <w:pPr>
        <w:spacing w:line="480" w:lineRule="auto" w:before="240" w:after="0"/>
        <w:ind w:firstLine="0"/>
        <w:jc w:val="left"/>
      </w:pPr>
      <w:r>
        <w:rPr>
          <w:rFonts w:ascii="Georgia" w:hAnsi="Georgia" w:eastAsia="Georgia"/>
          <w:b/>
          <w:sz w:val="22"/>
        </w:rPr>
        <w:t>Hedge versus False Positive in the Wording</w:t>
      </w:r>
    </w:p>
    <w:p>
      <w:pPr>
        <w:spacing w:line="480" w:lineRule="auto"/>
        <w:ind w:firstLine="0"/>
        <w:jc w:val="center"/>
      </w:pPr>
      <w:r>
        <w:rPr>
          <w:b/>
          <w:sz w:val="22"/>
        </w:rPr>
        <w:t>Table 5.1</w:t>
      </w:r>
    </w:p>
    <w:p>
      <w:pPr>
        <w:spacing w:line="480" w:lineRule="auto"/>
        <w:ind w:firstLine="0"/>
        <w:jc w:val="center"/>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rPr>
          <w:cantSplit/>
        </w:trP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rPr>
          <w:cantSplit/>
        </w:trP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rPr>
          <w:cantSplit/>
        </w:trP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rPr>
          <w:cantSplit/>
        </w:trP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center"/>
      </w:pPr>
      <w:r>
        <w:rPr>
          <w:b/>
          <w:sz w:val="22"/>
        </w:rPr>
        <w:t>Table 5.2</w:t>
      </w:r>
    </w:p>
    <w:p>
      <w:pPr>
        <w:spacing w:line="480" w:lineRule="auto"/>
        <w:ind w:firstLine="0"/>
        <w:jc w:val="center"/>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rPr>
          <w:cantSplit/>
        </w:trP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pPr>
        <w:spacing w:line="480" w:lineRule="auto" w:before="240" w:after="0"/>
        <w:ind w:firstLine="0"/>
        <w:jc w:val="left"/>
      </w:pPr>
      <w:r>
        <w:rPr>
          <w:rFonts w:ascii="Georgia" w:hAnsi="Georgia" w:eastAsia="Georgia"/>
          <w:b/>
          <w:sz w:val="22"/>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The same broad result styles appear in more than one program, so the difference in caution is not reducible to “VM only reports yes/no findings.”</w:t>
      </w:r>
    </w:p>
    <w:p>
      <w:pPr>
        <w:spacing w:line="480" w:lineRule="auto" w:before="240" w:after="0"/>
        <w:ind w:firstLine="0"/>
        <w:jc w:val="left"/>
      </w:pPr>
      <w:r>
        <w:rPr>
          <w:rFonts w:ascii="Georgia" w:hAnsi="Georgia" w:eastAsia="Georgia"/>
          <w:b/>
          <w:sz w:val="22"/>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eastAsia="Georgia"/>
          <w:sz w:val="22"/>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where many abstracts stay with direct results wording and never open an implication frame that would invite softening.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b w:val="0"/>
                <w:sz w:val="16"/>
              </w:rPr>
              <w:t>No retained hedge token in the abstract under Step 2.</w:t>
            </w:r>
          </w:p>
        </w:tc>
      </w:tr>
      <w:tr>
        <w:trPr>
          <w:cantSplit/>
        </w:trP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pPr>
        <w:spacing w:line="480" w:lineRule="auto"/>
        <w:ind w:firstLine="0"/>
        <w:jc w:val="center"/>
      </w:pPr>
      <w:r>
        <w:rPr>
          <w:i/>
          <w:sz w:val="22"/>
        </w:rPr>
        <w:t>Program Contrast: Sample Excerpts</w:t>
      </w:r>
    </w:p>
    <w:p>
      <w:pPr>
        <w:spacing w:line="480" w:lineRule="auto"/>
        <w:ind w:firstLine="0"/>
        <w:jc w:val="center"/>
      </w:pPr>
      <w:r>
        <w:rPr>
          <w:b/>
          <w:sz w:val="22"/>
        </w:rPr>
        <w:t>Table 6.1</w:t>
      </w:r>
    </w:p>
    <w:p>
      <w:pPr>
        <w:spacing w:line="480" w:lineRule="auto" w:before="240" w:after="0"/>
        <w:ind w:firstLine="0"/>
        <w:jc w:val="left"/>
      </w:pPr>
      <w:r>
        <w:rPr>
          <w:rFonts w:ascii="Georgia" w:hAnsi="Georgia" w:eastAsia="Georgia"/>
          <w:b/>
          <w:sz w:val="22"/>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ind w:firstLine="0"/>
        <w:jc w:val="left"/>
      </w:pPr>
      <w:r>
        <w:rPr>
          <w:rFonts w:ascii="Georgia" w:hAnsi="Georgia" w:eastAsia="Georgia"/>
          <w:b/>
          <w:sz w:val="22"/>
        </w:rPr>
        <w:t>Open Readings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