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retained under the Working Test,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used for classification after a token is retained. They are not treated as mutually exclusive categories in the wider literature. Interpersonal or deferential wording can overlap with epistemic stance in context. Retention depends on the Working Test: the item must change the epistemic weight of the claim. Interpersonal coloring alone is not enough. Discourse-organizing expressions are not ruled out in advance, but they are retained only when their use in context changes commitment to the proposition. Expressions that only sequence, label, or direct attention are not classified as hedges. This inclusion rule is consistent with Crompton (1997), who defines a hedge as language that explicitly qualifies the writer's lack of commitment to the truth of a proposition, and who tests for hedging by asking whether the proposition can be restated with greater author commitment without changing its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only to support an epistemically focused identification screen.</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also code mitigation more broadly, without the epistemic-only filter used here.</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epistemically screened set, not the absence of interpersonal or discourse mitigation from student writing overall. Genre compression in abstracts and the Working Test’s epistemic filter are both plausible accounts. Expert abstracts in the same three disciplines, coded with the same scheme and with a broader mitigation screen for comparison, would help separate genre effects, method effects, and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the Working Test treats a change in epistemic weight as the criterion for coding a hedge.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softening may be epistemic, interpersonal, or discourse-managing; only epistemic softening that changes epistemic weight counts as a hedge under this study’s Working Test.</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under the Working Test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That is the functional profile of the 65 tokens that passed the Working Test, not evidence that P or DO mitigation is absent from PSAU student writing. Discourse connectors such as Hence, Thus, Therefore, and In conclusion appear in the corpus and are logged as DO in Appendix C, but they do not change epistemic weight and are not counted as hedges. No politeness/deference devices were found even as non-hedge candidates. The Working Test is epistemically focused by design: softening that does not alter commitment is excluded before function labeling. Genre compression may also limit space for interactional mitigation. The data cannot separate a coding effect from a genre effect. Both remain plausible. That limitation is noted in Scope. The result should be read as: within an epistemically defined hedge set, Epistemic Caution was the sole independently coded function.</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screen itself selects for tokens that change epistemic weight, so a single function label is partly built into the method.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Future research could adopt a broader mitigation coding scheme to study interpersonal and discourse-organizing functions alongside epistemic ones. This study defined hedging as epistemic stance management, drawing mainly on Hyland (1998) and Salager-Meyer (1994), and applied the Working Test so that retained hedges are those that change the epistemic weight of a claim. That focus aligns with Crompton (1997) in reserving hedge for explicit qualification of commitment to a proposition. All retained hedges were coded Epistemic Caution under that screen. The uniform function label is therefore partly a result of how hedges were identified, not a claim that Politeness or Discourse Organization never appear in developing-researcher writing. A future study could code mitigation more broadly, including devices that soften or qualify claims even when they do not pass a strict epistemic filter, and then classify epistemic, politeness, and discourse-organizing uses under that wider net. Such work would test whether interactional and textual mitigation appear in the abstract genre when the coding scheme is designed to capture them.</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 Worked examples for EC, P, and DO (pass and fail) appear under Working Examples in the full codebook below.</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A device may soften presentation interpersonally or guide the reader without changing how certain the claim is. The Working Test counts only expressions that change epistemic weight (commitment to the proposition). P-only or DO-only softening that leaves certainty unchanged is not coded as a hedge.</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EC, P, AND DO UNDER THE WORKING TEST</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only after a token passes the hedge screen. P or DO alone does not make an expression a hedge. The Working Test asks whether removing the expression changes the epistemic weight of the proposition. The examples below separate interpersonal or discourse function from hedge status.</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without epistemic change. “As suggested by previous researchers, the treatment is effective.” Removing As suggested by previous researchers changes interpersonal positioning, not the certainty of the treatment is effective. Working Test: fail. May be noted as P in a scan log; not counted as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(pass as hedge). “We would suggest that the treatment may be less effective than earlier reports claimed.” Removing would suggest / may raises certainty and hardens the criticism of earlier work. Working Test: pass. Code as hedge; function EC, with politeness co-occurring (deference and softened disagreement). Contrast with the P-only example above, where certainty does not change.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without epistemic change. “It should be noted that the treatment increased plant height.” Removing It should be noted that directs attention only; the finding remains equally certain. Working Test: fail. Tag DO in the scan log if useful; not counted as a hedge. The same applies to Thus, Therefore, Hence, and In conclusion when they only sequence moves.</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P-only or DO-only expressions that do not change propositional certainty are not hedges under this codebook. Expressions that change certainty are retained as hedges and then labeled EC, P, or DO by dominant function. In this corpus, every retained token was labeled EC.</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