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b/>
          <w:bCs w:val="1"/>
          <w:sz w:val="22"/>
          <w:szCs w:val="22"/>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b/>
          <w:bCs w:val="1"/>
          <w:sz w:val="22"/>
          <w:szCs w:val="22"/>
          <w:rtl w:val="0"/>
        </w:rPr>
        <w:t xml:space="preserve">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0" w:after="0" w:line="288" w:lineRule="auto"/>
        <w:ind w:firstLine="720"/>
        <w:jc w:val="both"/>
        <w:rPr/>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b w:val="0"/>
          <w:i w:val="1"/>
          <w:iCs w:val="1"/>
          <w:color w:val="404040"/>
          <w:sz w:val="22"/>
          <w:rtl w:val="0"/>
          <w:szCs w:val="22"/>
        </w:rPr>
        <w:t>• Full rules in Full Codebook (from next page).</w:t>
      </w:r>
      <w:r>
        <w:rPr>
          <w:rFonts w:ascii="Georgia" w:cs="Georgia" w:eastAsia="Georgia" w:hAnsi="Georgia"/>
          <w:b w:val="0"/>
          <w:bCs w:val="0"/>
          <w:i w:val="1"/>
          <w:iCs w:val="1"/>
          <w:color w:val="404040"/>
          <w:sz w:val="22"/>
          <w:szCs w:val="22"/>
          <w:rtl w:val="0"/>
        </w:rPr>
      </w:r>
      <w:r>
        <w:rPr>
          <w:rtl w:val="0"/>
          <w:sz w:val="22"/>
          <w:szCs w:val="22"/>
        </w:rPr>
      </w:r>
    </w:p>
    <w:p w:rsidR="00000000" w:rsidDel="00000000" w:rsidP="00000000" w:rsidRDefault="00000000" w:rsidRPr="00000000" w14:paraId="000001B4">
      <w:pPr>
        <w:spacing w:before="48" w:after="2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48" w:after="20" w:line="276"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40" w:line="276"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sz w:val="22"/>
          <w:szCs w:val="22"/>
        </w:rPr>
      </w:r>
    </w:p>
    <w:p w:rsidR="00000000" w:rsidDel="00000000" w:rsidP="00000000" w:rsidRDefault="00000000" w:rsidRPr="00000000" w14:paraId="000001B8">
      <w:pPr>
        <w:spacing w:before="0" w:after="40" w:line="276"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sz w:val="22"/>
          <w:szCs w:val="22"/>
        </w:rPr>
      </w:r>
    </w:p>
    <w:p w:rsidR="00000000" w:rsidDel="00000000" w:rsidP="00000000" w:rsidRDefault="00000000" w:rsidRPr="00000000" w14:paraId="000001BA">
      <w:pPr>
        <w:spacing w:before="0" w:after="40" w:line="276"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2"/>
          <w:szCs w:val="22"/>
        </w:rPr>
      </w:r>
    </w:p>
    <w:p w:rsidR="00000000" w:rsidDel="00000000" w:rsidP="00000000" w:rsidRDefault="00000000" w:rsidRPr="00000000" w14:paraId="000001BB">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1BC">
      <w:pPr>
        <w:spacing w:before="0" w:after="40" w:line="276"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2"/>
          <w:szCs w:val="22"/>
        </w:rPr>
      </w:r>
    </w:p>
    <w:p w:rsidR="00000000" w:rsidDel="00000000" w:rsidP="00000000" w:rsidRDefault="00000000" w:rsidRPr="00000000" w14:paraId="00000083">
      <w:pPr>
        <w:spacing w:before="48" w:after="20" w:line="276"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2"/>
          <w:szCs w:val="22"/>
        </w:rPr>
      </w:r>
    </w:p>
    <w:p w:rsidR="00000000" w:rsidDel="00000000" w:rsidP="00000000" w:rsidRDefault="00000000" w:rsidRPr="00000000" w14:paraId="000001BE">
      <w:pPr>
        <w:spacing w:before="48" w:after="20" w:line="276" w:lineRule="auto"/>
        <w:jc w:val="left"/>
        <w:rPr/>
      </w:pPr>
      <w:r>
        <w:rPr>
          <w:rFonts w:ascii="Georgia" w:hAnsi="Georgia" w:cs="Georgia" w:eastAsia="Georgia"/>
          <w:b/>
          <w:bCs w:val="1"/>
          <w:i w:val="0"/>
          <w:iCs w:val="0"/>
          <w:sz w:val="24"/>
          <w:szCs w:val="24"/>
          <w:rtl w:val="0"/>
        </w:rPr>
        <w:t>HEDGE TYPE (PRIMARY COLORS)</w:t>
      </w:r>
      <w:r>
        <w:rPr>
          <w:rtl w:val="0"/>
          <w:sz w:val="24"/>
          <w:szCs w:val="24"/>
        </w:rPr>
      </w:r>
    </w:p>
    <w:p w:rsidR="00000000" w:rsidDel="00000000" w:rsidP="00000000" w:rsidRDefault="00000000" w:rsidRPr="00000000" w14:paraId="000001BF">
      <w:pPr>
        <w:spacing w:before="0" w:after="40" w:line="276"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sz w:val="22"/>
          <w:szCs w:val="22"/>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40" w:line="276"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sz w:val="22"/>
          <w:szCs w:val="22"/>
        </w:rPr>
      </w:r>
    </w:p>
    <w:p w:rsidR="00000000" w:rsidDel="00000000" w:rsidP="00000000" w:rsidRDefault="00000000" w:rsidRPr="00000000" w14:paraId="000001D6">
      <w:pPr>
        <w:spacing w:before="0" w:after="40" w:line="276"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sz w:val="22"/>
          <w:szCs w:val="22"/>
        </w:rPr>
      </w:r>
    </w:p>
    <w:p w:rsidR="00000000" w:rsidDel="00000000" w:rsidP="00000000" w:rsidRDefault="00000000" w:rsidRPr="00000000" w14:paraId="000001D8">
      <w:pPr>
        <w:spacing w:before="48" w:after="20" w:line="276" w:lineRule="auto"/>
        <w:jc w:val="left"/>
        <w:rPr/>
      </w:pPr>
      <w:r>
        <w:rPr>
          <w:rFonts w:ascii="Georgia" w:hAnsi="Georgia" w:cs="Georgia" w:eastAsia="Georgia"/>
          <w:b/>
          <w:bCs w:val="1"/>
          <w:i w:val="0"/>
          <w:iCs w:val="0"/>
          <w:sz w:val="24"/>
          <w:szCs w:val="24"/>
          <w:rtl w:val="0"/>
        </w:rPr>
        <w:t>HEDGE FUNCTION (COLORED TEXT LABELS)</w:t>
      </w:r>
      <w:r>
        <w:rPr>
          <w:rtl w:val="0"/>
          <w:sz w:val="24"/>
          <w:szCs w:val="24"/>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spacing w:before="48" w:after="20" w:line="276" w:lineRule="auto"/>
        <w:jc w:val="left"/>
        <w:rPr/>
      </w:pPr>
      <w:r>
        <w:rPr>
          <w:rFonts w:ascii="Georgia" w:cs="Georgia" w:eastAsia="Georgia" w:hAnsi="Georgia"/>
          <w:b w:val="1"/>
          <w:bCs w:val="1"/>
          <w:i w:val="0"/>
          <w:iCs w:val="0"/>
          <w:sz w:val="24"/>
          <w:szCs w:val="24"/>
          <w:rtl w:val="0"/>
        </w:rPr>
        <w:t xml:space="preserve">DECISION RULES FOR AMBIGUOUS CASES</w:t>
      </w:r>
      <w:r>
        <w:rPr>
          <w:rtl w:val="0"/>
          <w:sz w:val="24"/>
          <w:szCs w:val="24"/>
        </w:rPr>
      </w:r>
    </w:p>
    <w:p w:rsidR="00000000" w:rsidDel="00000000" w:rsidP="00000000" w:rsidRDefault="00000000" w:rsidRPr="00000000" w14:paraId="000001EB">
      <w:pPr>
        <w:spacing w:before="0" w:after="40" w:line="276"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sz w:val="22"/>
          <w:szCs w:val="22"/>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40" w:line="276"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sz w:val="22"/>
          <w:szCs w:val="22"/>
        </w:rPr>
      </w:r>
    </w:p>
    <w:p w:rsidR="00000000" w:rsidDel="00000000" w:rsidP="00000000" w:rsidRDefault="00000000" w:rsidRPr="00000000" w14:paraId="00000209">
      <w:pPr>
        <w:spacing w:before="0" w:after="40" w:line="276"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sz w:val="22"/>
          <w:szCs w:val="22"/>
        </w:rPr>
      </w:r>
    </w:p>
    <w:p w:rsidR="00000000" w:rsidDel="00000000" w:rsidP="00000000" w:rsidRDefault="00000000" w:rsidRPr="00000000" w14:paraId="0000020B">
      <w:pPr>
        <w:spacing w:before="48" w:after="20" w:line="276" w:lineRule="auto"/>
        <w:jc w:val="left"/>
        <w:rPr/>
      </w:pPr>
      <w:r>
        <w:rPr>
          <w:sz w:val="24"/>
          <w:szCs w:val="24"/>
        </w:rPr>
        <w:br w:type="page"/>
      </w:r>
      <w:r>
        <w:rPr>
          <w:rFonts w:ascii="Georgia" w:cs="Georgia" w:eastAsia="Georgia" w:hAnsi="Georgia"/>
          <w:b w:val="1"/>
          <w:bCs w:val="1"/>
          <w:i w:val="0"/>
          <w:iCs w:val="0"/>
          <w:sz w:val="24"/>
          <w:szCs w:val="24"/>
          <w:rtl w:val="0"/>
        </w:rPr>
        <w:t xml:space="preserve">MARKING FALSE POSITIVES</w:t>
      </w:r>
      <w:r>
        <w:rPr>
          <w:rtl w:val="0"/>
          <w:sz w:val="24"/>
          <w:szCs w:val="24"/>
        </w:rPr>
      </w:r>
    </w:p>
    <w:p w:rsidR="00000000" w:rsidDel="00000000" w:rsidP="00000000" w:rsidRDefault="00000000" w:rsidRPr="00000000" w14:paraId="0000020C">
      <w:pPr>
        <w:spacing w:before="0" w:after="40" w:line="276"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sz w:val="22"/>
          <w:szCs w:val="22"/>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pPr>
        <w:spacing w:before="0" w:after="40" w:line="276" w:lineRule="auto"/>
      </w:pPr>
      <w:r>
        <w:rPr>
          <w:sz w:val="22"/>
          <w:szCs w:val="22"/>
        </w:rPr>
        <w:br w:type="page"/>
      </w:r>
    </w:p>
    <w:p w:rsidR="00000000" w:rsidDel="00000000" w:rsidP="00000000" w:rsidRDefault="00000000" w:rsidRPr="00000000" w14:paraId="00000220">
      <w:pPr>
        <w:spacing w:before="48" w:after="20" w:line="276" w:lineRule="auto"/>
        <w:jc w:val="left"/>
        <w:rPr/>
      </w:pPr>
      <w:r>
        <w:rPr>
          <w:rFonts w:ascii="Georgia" w:hAnsi="Georgia" w:cs="Georgia" w:eastAsia="Georgia"/>
          <w:b/>
          <w:bCs w:val="1"/>
          <w:i w:val="0"/>
          <w:iCs w:val="0"/>
          <w:sz w:val="24"/>
          <w:szCs w:val="24"/>
          <w:rtl w:val="0"/>
        </w:rPr>
        <w:t>UNHEDGED ASSERTIONS (WARRANTED CAUTION, NEUTRAL GREY)</w:t>
      </w:r>
      <w:r>
        <w:rPr>
          <w:rtl w:val="0"/>
          <w:sz w:val="24"/>
          <w:szCs w:val="24"/>
        </w:rPr>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spacing w:before="0" w:after="40" w:line="276" w:lineRule="auto"/>
        <w:ind w:firstLine="720"/>
        <w:jc w:val="both"/>
        <w:rPr/>
      </w:pPr>
      <w:r>
        <w:rPr>
          <w:rFonts w:ascii="Georgia" w:hAnsi="Georgia" w:cs="Georgia" w:eastAsia="Georgia"/>
          <w:b w:val="0"/>
          <w:bCs w:val="0"/>
          <w:i w:val="0"/>
          <w:iCs w:val="0"/>
          <w:sz w:val="22"/>
          <w:szCs w:val="22"/>
          <w:rtl w:val="0"/>
        </w:rPr>
      </w:r>
      <w:r>
        <w:rPr>
          <w:rtl w:val="0"/>
          <w:sz w:val="22"/>
          <w:szCs w:val="22"/>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cantSplit/>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20"/>
                <w:szCs w:val="20"/>
              </w:rPr>
              <w:t xml:space="preserve">“</w:t>
            </w:r>
            <w:r>
              <w:rPr>
                <w:rFonts w:ascii="Georgia" w:hAnsi="Georgia" w:cs="Georgia" w:eastAsia="Georgia"/>
                <w:sz w:val="20"/>
                <w:szCs w:val="20"/>
                <w:shd w:val="clear" w:color="auto" w:fill="bfbfbf"/>
              </w:rPr>
              <w:t xml:space="preserve">was</w:t>
            </w:r>
            <w:r>
              <w:rPr>
                <w:rFonts w:ascii="Georgia" w:hAnsi="Georgia" w:cs="Georgia" w:eastAsia="Georgia"/>
                <w:sz w:val="20"/>
                <w:szCs w:val="20"/>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20"/>
                <w:szCs w:val="20"/>
              </w:rPr>
              <w:t xml:space="preserve">“This </w:t>
            </w:r>
            <w:r>
              <w:rPr>
                <w:rFonts w:ascii="Georgia" w:hAnsi="Georgia" w:cs="Georgia" w:eastAsia="Georgia"/>
                <w:sz w:val="20"/>
                <w:szCs w:val="20"/>
                <w:shd w:val="clear" w:color="auto" w:fill="bfbfbf"/>
              </w:rPr>
              <w:t xml:space="preserve">led</w:t>
            </w:r>
            <w:r>
              <w:rPr>
                <w:rFonts w:ascii="Georgia" w:hAnsi="Georgia" w:cs="Georgia" w:eastAsia="Georgia"/>
                <w:sz w:val="20"/>
                <w:szCs w:val="20"/>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20"/>
                <w:szCs w:val="20"/>
              </w:rPr>
              <w:t xml:space="preserve">“Extracts </w:t>
            </w:r>
            <w:r>
              <w:rPr>
                <w:rFonts w:ascii="Georgia" w:hAnsi="Georgia" w:cs="Georgia" w:eastAsia="Georgia"/>
                <w:sz w:val="20"/>
                <w:szCs w:val="20"/>
                <w:shd w:val="clear" w:color="auto" w:fill="bfbfbf"/>
              </w:rPr>
              <w:t xml:space="preserve">produce</w:t>
            </w:r>
            <w:r>
              <w:rPr>
                <w:rFonts w:ascii="Georgia" w:hAnsi="Georgia" w:cs="Georgia" w:eastAsia="Georgia"/>
                <w:sz w:val="20"/>
                <w:szCs w:val="20"/>
              </w:rPr>
              <w:t xml:space="preserve"> [C] comparable staining because they contain similar compounds.”</w:t>
            </w:r>
          </w:p>
        </w:tc>
      </w:tr>
    </w:tbl>
    <w:p w:rsidR="00000000" w:rsidDel="00000000" w:rsidP="00000000" w:rsidRDefault="00000000" w:rsidRPr="00000000" w14:paraId="00000247">
      <w:pPr>
        <w:spacing w:before="48"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4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sz w:val="22"/>
          <w:szCs w:val="22"/>
        </w:rPr>
      </w:r>
    </w:p>
    <w:p w:rsidR="00000000" w:rsidDel="00000000" w:rsidP="00000000" w:rsidRDefault="00000000" w:rsidRPr="00000000" w14:paraId="0000025A">
      <w:pPr>
        <w:spacing w:before="0" w:after="4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sz w:val="22"/>
          <w:szCs w:val="22"/>
        </w:rPr>
      </w:r>
    </w:p>
    <w:p w:rsidR="00000000" w:rsidDel="00000000" w:rsidP="00000000" w:rsidRDefault="00000000" w:rsidRPr="00000000" w14:paraId="0000025D">
      <w:pPr>
        <w:spacing w:before="0" w:after="4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sz w:val="22"/>
          <w:szCs w:val="22"/>
        </w:rPr>
      </w:r>
    </w:p>
    <w:p w:rsidR="00000000" w:rsidDel="00000000" w:rsidP="00000000" w:rsidRDefault="00000000" w:rsidRPr="00000000" w14:paraId="0000026C">
      <w:pPr>
        <w:spacing w:before="0" w:after="40" w:line="276" w:lineRule="auto"/>
        <w:jc w:val="left"/>
        <w:rPr/>
      </w:pPr>
      <w:r>
        <w:rPr>
          <w:rFonts w:ascii="Georgia" w:hAnsi="Georgia" w:cs="Georgia" w:eastAsia="Georgia"/>
          <w:b w:val="0"/>
          <w:bCs w:val="0"/>
          <w:i w:val="1"/>
          <w:iCs w:val="1"/>
          <w:sz w:val="22"/>
          <w:szCs w:val="22"/>
          <w:rtl w:val="0"/>
        </w:rPr>
        <w:t>• Optional Rejected Candidates tab for FP traceability.</w:t>
      </w:r>
      <w:r>
        <w:rPr>
          <w:rtl w:val="0"/>
          <w:sz w:val="22"/>
          <w:szCs w:val="22"/>
        </w:rPr>
      </w:r>
    </w:p>
    <w:p>
      <w:pPr>
        <w:spacing w:line="276" w:lineRule="auto" w:before="0" w:after="40"/>
      </w:pPr>
      <w:r>
        <w:rPr>
          <w:sz w:val="22"/>
          <w:szCs w:val="22"/>
        </w:rP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