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8"/>
          <w:szCs w:val="28"/>
          <w:b/>
          <w:bCs/>
        </w:rPr>
        <w:t xml:space="preserve">THE USE OF HEDGES IN RESEARCH ABSTRACTS</w:t>
      </w:r>
    </w:p>
    <w:p>
      <w:pPr>
        <w:spacing w:before="0" w:after="0" w:line="360" w:lineRule="auto"/>
        <w:jc w:val="center"/>
      </w:pPr>
      <w:r>
        <w:rPr>
          <w:rFonts w:ascii="Georgia" w:hAnsi="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A Thesis</w:t>
      </w:r>
    </w:p>
    <w:p>
      <w:pPr>
        <w:spacing w:before="0" w:after="0" w:line="360" w:lineRule="auto"/>
        <w:jc w:val="center"/>
      </w:pPr>
      <w:r>
        <w:rPr>
          <w:rFonts w:ascii="Georgia" w:hAnsi="Georgia"/>
          <w:sz w:val="24"/>
          <w:szCs w:val="24"/>
        </w:rPr>
        <w:t xml:space="preserve">Presented to the Faculty of</w:t>
      </w:r>
    </w:p>
    <w:p>
      <w:pPr>
        <w:spacing w:before="0" w:after="0" w:line="360" w:lineRule="auto"/>
        <w:jc w:val="center"/>
      </w:pPr>
      <w:r>
        <w:rPr>
          <w:rFonts w:ascii="Georgia" w:hAnsi="Georgia"/>
          <w:sz w:val="24"/>
          <w:szCs w:val="24"/>
        </w:rPr>
        <w:t xml:space="preserve">Department of English</w:t>
      </w:r>
    </w:p>
    <w:p>
      <w:pPr>
        <w:spacing w:before="0" w:after="0" w:line="360" w:lineRule="auto"/>
        <w:jc w:val="center"/>
      </w:pPr>
      <w:r>
        <w:rPr>
          <w:rFonts w:ascii="Georgia" w:hAnsi="Georgia"/>
          <w:sz w:val="24"/>
          <w:szCs w:val="24"/>
        </w:rPr>
        <w:t xml:space="preserve">College of Arts and Sciences</w:t>
      </w:r>
    </w:p>
    <w:p>
      <w:pPr>
        <w:spacing w:before="0" w:after="0" w:line="360" w:lineRule="auto"/>
        <w:jc w:val="center"/>
      </w:pPr>
      <w:r>
        <w:rPr>
          <w:rFonts w:ascii="Georgia" w:hAnsi="Georgia"/>
          <w:sz w:val="24"/>
          <w:szCs w:val="24"/>
        </w:rPr>
        <w:t xml:space="preserve">Pampanga State Agricultural University</w:t>
      </w:r>
    </w:p>
    <w:p>
      <w:pPr>
        <w:spacing w:before="0" w:after="0" w:line="360" w:lineRule="auto"/>
        <w:jc w:val="center"/>
      </w:pPr>
      <w:r>
        <w:rPr>
          <w:rFonts w:ascii="Georgia" w:hAnsi="Georgia"/>
          <w:sz w:val="24"/>
          <w:szCs w:val="24"/>
        </w:rPr>
        <w:t xml:space="preserve">Magalang, Pampanga</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In Partial Fulfillment</w:t>
      </w:r>
    </w:p>
    <w:p>
      <w:pPr>
        <w:spacing w:before="0" w:after="0" w:line="360" w:lineRule="auto"/>
        <w:jc w:val="center"/>
      </w:pPr>
      <w:r>
        <w:rPr>
          <w:rFonts w:ascii="Georgia" w:hAnsi="Georgia"/>
          <w:sz w:val="24"/>
          <w:szCs w:val="24"/>
        </w:rPr>
        <w:t xml:space="preserve">of the Requirements for the Degree</w:t>
      </w:r>
    </w:p>
    <w:p>
      <w:pPr>
        <w:spacing w:before="0" w:after="0" w:line="360" w:lineRule="auto"/>
        <w:jc w:val="center"/>
      </w:pPr>
      <w:r>
        <w:rPr>
          <w:rFonts w:ascii="Georgia" w:hAnsi="Georgia"/>
          <w:sz w:val="24"/>
          <w:szCs w:val="24"/>
        </w:rPr>
        <w:t xml:space="preserve">BACHELOR OF ARTS IN ENGLISH LANGUAGE STUDIES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By</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b/>
          <w:bCs/>
        </w:rPr>
        <w:t xml:space="preserve">CHRYZ KEAN F. MANUEL</w:t>
      </w:r>
    </w:p>
    <w:p>
      <w:pPr>
        <w:spacing w:before="0" w:after="0" w:line="360" w:lineRule="auto"/>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pPr>
      <w:r>
        <w:rPr>
          <w:rFonts w:ascii="Georgia" w:hAnsi="Georgia"/>
          <w:sz w:val="24"/>
          <w:szCs w:val="24"/>
        </w:rPr>
        <w:t xml:space="preserve">October 2026</w:t>
      </w:r>
    </w:p>
    <w:p w:rsidR="00000000" w:rsidDel="00000000" w:rsidP="00000000" w:rsidRDefault="00000000" w:rsidRPr="00000000" w14:paraId="00000027">
      <w:pPr>
        <w:keepLines w:val="1"/>
        <w:spacing w:before="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absolute—agricultural work can be lab-based, biology can be field-based—but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cs="Georgia" w:eastAsia="Georgia" w:hAnsi="Georgia"/>
          <w:b w:val="0"/>
          <w:bCs w:val="0"/>
          <w:i w:val="0"/>
          <w:iCs w:val="0"/>
          <w:sz w:val="22"/>
          <w:szCs w:val="22"/>
          <w:rtl w:val="0"/>
        </w:rPr>
        <w:t xml:space="preserve">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writers—Philosophy and Psychology hedged more than Physics and History—yet modal verbs remained the dominant form across disciplines.</w:t>
      </w:r>
      <w:r>
        <w:rPr>
          <w:rtl w:val="0"/>
        </w:rPr>
      </w:r>
    </w:p>
    <w:p w:rsidR="00000000" w:rsidDel="00000000" w:rsidP="00000000" w:rsidRDefault="00000000" w:rsidRPr="00000000" w14:paraId="00000033">
      <w:pPr>
        <w:spacing w:before="0" w:after="0" w:line="480" w:lineRule="auto"/>
        <w:ind w:firstLine="720"/>
        <w:jc w:val="both"/>
        <w:rPr/>
      </w:pPr>
      <w:r>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Pr>
          <w:rtl w:val="0"/>
        </w:rPr>
      </w:r>
    </w:p>
    <w:p w:rsidR="00000000" w:rsidDel="00000000" w:rsidP="00000000" w:rsidRDefault="00000000" w:rsidRPr="00000000" w14:paraId="00000035">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Pr>
          <w:rtl w:val="0"/>
        </w:rPr>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 xml:space="preserve">These findings are not necessarily contradictory. Afshar et al. and Mohammed compare different disciplinary pairings and use different hedge taxonomies—Afshar the full Salager-Meyer (1994) scheme, Mohammed a lexical-hedge focus—so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Pr>
          <w:rtl w:val="0"/>
        </w:rPr>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cs="Georgia" w:eastAsia="Georgia" w:hAnsi="Georgia"/>
          <w:b w:val="0"/>
          <w:bCs w:val="0"/>
          <w:i w:val="0"/>
          <w:iCs w:val="0"/>
          <w:sz w:val="22"/>
          <w:szCs w:val="22"/>
          <w:rtl w:val="0"/>
        </w:rPr>
        <w:t xml:space="preserve">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claims—different genre, same point that hedging is context-sensitive.</w:t>
      </w:r>
      <w:r>
        <w:rPr>
          <w:rtl w:val="0"/>
        </w:rPr>
      </w:r>
    </w:p>
    <w:p w:rsidR="00000000" w:rsidDel="00000000" w:rsidP="00000000" w:rsidRDefault="00000000" w:rsidRPr="00000000" w14:paraId="0000003F">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Pr>
          <w:rtl w:val="0"/>
        </w:rPr>
      </w:r>
    </w:p>
    <w:p w:rsidR="00000000" w:rsidDel="00000000" w:rsidP="00000000" w:rsidRDefault="00000000" w:rsidRPr="00000000" w14:paraId="00000042">
      <w:pPr>
        <w:spacing w:before="0" w:after="0" w:line="480" w:lineRule="auto"/>
        <w:ind w:firstLine="720"/>
        <w:jc w:val="both"/>
        <w:rPr/>
      </w:pPr>
      <w:r>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Afshar et al., 2014). Developing researchers across contexts show limited hedge variety and tend to default to modal verbs (Khunasathitchai et al., 2025; Wang, 2022). L2 writers face additional constraints from linguistic factors and limited explicit instruction (Demir, 2018; Petchkij, 2019). Philippine and ASEAN studies confirm reliance on modals and, in some contexts, a preference for boosters (Ningrum et al., 2024; Escalona, 2025; Lopez et al., 2025).</w:t>
      </w:r>
      <w:r>
        <w:rPr>
          <w:rtl w:val="0"/>
        </w:rPr>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 xml:space="preserve">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 xml:space="preserve">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 xml:space="preserve">4. What do the frequency and functional patterns suggest about the construction of epistemic stance through hedging among developing researchers?</w:t>
      </w:r>
      <w:r>
        <w:rPr>
          <w:rtl w:val="0"/>
        </w:rPr>
      </w:r>
    </w:p>
    <w:p w:rsidR="00000000" w:rsidDel="00000000" w:rsidP="00000000" w:rsidRDefault="00000000" w:rsidRPr="00000000" w14:paraId="0000004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cs="Georgia" w:eastAsia="Georgia" w:hAnsi="Georgia"/>
          <w:b w:val="0"/>
          <w:bCs w:val="0"/>
          <w:i w:val="0"/>
          <w:iCs w:val="0"/>
          <w:sz w:val="22"/>
          <w:szCs w:val="22"/>
          <w:rtl w:val="0"/>
        </w:rPr>
        <w:t xml:space="preserve">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for the cross-tabulation of type-function pairings that RQ4 required.</w:t>
      </w:r>
      <w:r>
        <w:rPr>
          <w:rtl w:val="0"/>
        </w:rPr>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independent variable is discipline, which includes Agriculture, Veterinary Medicine, and Biology.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keepLines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b w:val="1"/>
          <w:bCs w:val="1"/>
          <w:rtl w:val="0"/>
        </w:rPr>
        <w:t xml:space="preserve">For writing instructors and thesis advisers at PSAU,</w:t>
      </w:r>
      <w:r>
        <w:rPr>
          <w:b w:val="0"/>
          <w:bCs w:val="0"/>
          <w:rtl w:val="0"/>
        </w:rPr>
        <w:t xml:space="preserve"> the study provides an empirical baseline of how developing researchers in three applied life sciences programs currently manage uncertainty in abstracts. That baseline can support more targeted feedback than generic advice to “be cautious.”</w:t>
      </w:r>
      <w:r>
        <w:rPr>
          <w:rtl w:val="0"/>
        </w:rPr>
      </w:r>
    </w:p>
    <w:p w:rsidR="00000000" w:rsidDel="00000000" w:rsidP="00000000" w:rsidRDefault="00000000" w:rsidRPr="00000000" w14:paraId="00000058">
      <w:pPr>
        <w:spacing w:before="0" w:after="0" w:line="480" w:lineRule="auto"/>
        <w:ind w:firstLine="720"/>
        <w:jc w:val="both"/>
        <w:rPr/>
      </w:pPr>
      <w:r>
        <w:rPr>
          <w:b w:val="1"/>
          <w:bCs w:val="1"/>
          <w:rtl w:val="0"/>
        </w:rPr>
        <w:t xml:space="preserve">For academic writing researchers,</w:t>
      </w:r>
      <w:r>
        <w:rPr>
          <w:b w:val="0"/>
          <w:bCs w:val="0"/>
          <w:rtl w:val="0"/>
        </w:rPr>
        <w:t xml:space="preserve"> it adds Philippine applied-science abstract data to a body of work that has drawn mainly from other regional and disciplinary settings.</w:t>
      </w:r>
      <w:r>
        <w:rPr>
          <w:rtl w:val="0"/>
        </w:rPr>
      </w:r>
    </w:p>
    <w:p w:rsidR="00000000" w:rsidDel="00000000" w:rsidP="00000000" w:rsidRDefault="00000000" w:rsidRPr="00000000" w14:paraId="00000059">
      <w:pPr>
        <w:spacing w:before="0" w:after="0" w:line="480" w:lineRule="auto"/>
        <w:ind w:firstLine="720"/>
        <w:jc w:val="both"/>
        <w:rPr/>
      </w:pPr>
      <w:r>
        <w:rPr>
          <w:b w:val="1"/>
          <w:bCs w:val="1"/>
          <w:rtl w:val="0"/>
        </w:rPr>
        <w:t xml:space="preserve">For the BAELS program,</w:t>
      </w:r>
      <w:r>
        <w:rPr>
          <w:b w:val="0"/>
          <w:bCs w:val="0"/>
          <w:rtl w:val="0"/>
        </w:rPr>
        <w:t xml:space="preserve"> it shows that corpus-assisted discourse analysis is a viable undergraduate thesis methodology and yields findings usable in local writing pedagogy.</w:t>
      </w:r>
      <w:r>
        <w:rPr>
          <w:rtl w:val="0"/>
        </w:rPr>
      </w:r>
    </w:p>
    <w:p w:rsidR="00000000" w:rsidDel="00000000" w:rsidP="00000000" w:rsidRDefault="00000000" w:rsidRPr="00000000" w14:paraId="0000005A">
      <w:pPr>
        <w:spacing w:before="0" w:after="0" w:line="480" w:lineRule="auto"/>
        <w:ind w:firstLine="720"/>
        <w:jc w:val="both"/>
        <w:rPr/>
      </w:pPr>
      <w:r>
        <w:rPr>
          <w:b w:val="1"/>
          <w:bCs w:val="1"/>
          <w:rtl w:val="0"/>
        </w:rPr>
        <w:t xml:space="preserve">For future researchers,</w:t>
      </w:r>
      <w:r>
        <w:rPr>
          <w:b w:val="0"/>
          <w:bCs w:val="0"/>
          <w:rtl w:val="0"/>
        </w:rPr>
        <w:t xml:space="preserve"> the sampling design, coding decision rules, and false-positive log offer a replicable protocol for similar corpus studies.</w:t>
      </w:r>
      <w:r>
        <w:rPr>
          <w:rtl w:val="0"/>
        </w:rPr>
      </w:r>
    </w:p>
    <w:p w:rsidR="00000000" w:rsidDel="00000000" w:rsidP="00000000" w:rsidRDefault="00000000" w:rsidRPr="00000000" w14:paraId="0000005C">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focuses on undergraduate thesis abstracts from Agriculture, Veterinary Medicine, and Biology at PSAU, covering theses completed between 2023 and 2025. The corpus consists of 60 abstracts selected through disproportionate stratified systematic sampling, with discipline as the stratification variable and fixed analytical targets per stratum to ensure equal representation regardless of population size. The distribution includes Biology (n=20), Veterinary Medicine (n=20), and Agriculture (n=20). For the Agriculture discipline, the sample is equally split between Crop Science (n=10) and Animal Science (n=10) to ensure balanced representation of the sub-disciplines. These sub-programs are analyzed as a single “Agriculture” discipline for cross-disciplinary comparison, while sub-program differences are documented separately.</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 xml:space="preserve">This sample size is consistent with comparable corpus-assisted discourse studies at the undergraduate level. Khunasathitchai et al. (2025) analyzed 60 abstracts, and Wang (2022) used similar per-discipline proportions. For a manually coded functional analysis within a single institution, 60 texts provide sufficient data for identifying patterns without exceeding the analytical capacity of a BA thesis. The study treats its findings as indicative patterns within the PSAU context, supplemented by exploratory inferential analyses (chi-square, Kruskal-Wallis) whose results are reported transparently but should not be treated as confirmatory given the small, zero-inflated sample. However, pilot testing revealed that 75% of the sampled abstracts contained zero hedging devices. The pilot’s 75% zero-hedge rate was higher than the main corpus’s 46.7%, likely reflecting the small pilot sample size (4 abstracts) rather than a systematic difference between the pilot and main corpora. The study acknowledges the high likelihood of a zero-inflated dataset. While the absence of hedging prevents a robust comparative analysis of hedge variety, it is treated in this study as a valid indicator of categorical claim formulation rather than a methodological failure.</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booster count was performed only on the 28 zero-hedge abstracts to check whether the absence of hedges coincided with assertive language; a full booster analysis across the corpus was not undertaken.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tl w:val="0"/>
        </w:rPr>
        <w:t xml:space="preserve">Reliability was assessed through intra-rater agreement only. A second coder was not available for inter-rater reliability testing, which limits the extent to which the coding scheme can be verified against an independent application of the same decision rules. This limitation particularly affects the functional findings reported in Part III. The uniform assignment of all 60 hedges to the Epistemic Caution function may reflect a single coder's interpretive frame rather than a property of the corpus itself. Future research with inter-rater coding on at least a subset of the corpus is needed to test the robustness of the functional findings before they can be treated as established.</w:t>
      </w:r>
    </w:p>
    <w:p w:rsidR="00000000" w:rsidDel="00000000" w:rsidP="00000000" w:rsidRDefault="00000000" w:rsidRPr="00000000" w14:paraId="00000062">
      <w:pPr>
        <w:spacing w:before="0" w:after="0" w:line="480" w:lineRule="auto"/>
        <w:ind w:firstLine="720"/>
        <w:jc w:val="both"/>
        <w:rPr/>
      </w:pPr>
      <w:r>
        <w:rPr>
          <w:rtl w:val="0"/>
        </w:rPr>
        <w:t xml:space="preserve">The study also lacks a comparable expert-abstract corpus against which to compare the functional findings. The absence of interactional hedges (Politeness, Discourse Organization) in this corpus may reflect genre compression in abstracts rather than writer deficit. Expert abstracts in the same three disciplines, coded with the same scheme, would allow the study to distinguish genre effects from writer-competence effects. Future research with such a comparison corpus is needed before the functional narrowness reported here can be attributed to writer characteristics rather than to genre constraints.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Abstract, </w:t>
      </w:r>
      <w:r>
        <w:rPr>
          <w:rFonts w:ascii="Georgia" w:cs="Georgia" w:eastAsia="Georgia" w:hAnsi="Georgia"/>
          <w:b w:val="0"/>
          <w:bCs w:val="0"/>
          <w:i w:val="0"/>
          <w:iCs w:val="0"/>
          <w:sz w:val="22"/>
          <w:szCs w:val="22"/>
          <w:rtl w:val="0"/>
        </w:rPr>
        <w:t xml:space="preserve">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cs="Georgia" w:eastAsia="Georgia" w:hAnsi="Georgia"/>
          <w:b w:val="1"/>
          <w:bCs w:val="1"/>
          <w:i w:val="0"/>
          <w:iCs w:val="0"/>
          <w:sz w:val="22"/>
          <w:szCs w:val="22"/>
          <w:rtl w:val="0"/>
        </w:rPr>
        <w:t xml:space="preserve">Adverbial Hedges, </w:t>
      </w:r>
      <w:r>
        <w:rPr>
          <w:rFonts w:ascii="Georgia" w:cs="Georgia" w:eastAsia="Georgia" w:hAnsi="Georgia"/>
          <w:b w:val="0"/>
          <w:bCs w:val="0"/>
          <w:i w:val="0"/>
          <w:iCs w:val="0"/>
          <w:sz w:val="22"/>
          <w:szCs w:val="22"/>
          <w:rtl w:val="0"/>
        </w:rPr>
        <w:t xml:space="preserve">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cs="Georgia" w:eastAsia="Georgia" w:hAnsi="Georgia"/>
          <w:b w:val="1"/>
          <w:bCs w:val="1"/>
          <w:i w:val="0"/>
          <w:iCs w:val="0"/>
          <w:sz w:val="22"/>
          <w:szCs w:val="22"/>
          <w:rtl w:val="0"/>
        </w:rPr>
        <w:t xml:space="preserve">Applied Life Sciences, </w:t>
      </w:r>
      <w:r>
        <w:rPr>
          <w:rFonts w:ascii="Georgia" w:cs="Georgia" w:eastAsia="Georgia" w:hAnsi="Georgia"/>
          <w:b w:val="0"/>
          <w:bCs w:val="0"/>
          <w:i w:val="0"/>
          <w:iCs w:val="0"/>
          <w:sz w:val="22"/>
          <w:szCs w:val="22"/>
          <w:rtl w:val="0"/>
        </w:rPr>
        <w:t xml:space="preserve">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cs="Georgia" w:eastAsia="Georgia" w:hAnsi="Georgia"/>
          <w:b w:val="1"/>
          <w:bCs w:val="1"/>
          <w:i w:val="0"/>
          <w:iCs w:val="0"/>
          <w:sz w:val="22"/>
          <w:szCs w:val="22"/>
          <w:rtl w:val="0"/>
        </w:rPr>
        <w:t xml:space="preserve">Claim Responsibility, </w:t>
      </w:r>
      <w:r>
        <w:rPr>
          <w:rFonts w:ascii="Georgia" w:cs="Georgia" w:eastAsia="Georgia" w:hAnsi="Georgia"/>
          <w:b w:val="0"/>
          <w:bCs w:val="0"/>
          <w:i w:val="0"/>
          <w:iCs w:val="0"/>
          <w:sz w:val="22"/>
          <w:szCs w:val="22"/>
          <w:rtl w:val="0"/>
        </w:rPr>
        <w:t xml:space="preserve">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B">
      <w:pPr>
        <w:spacing w:before="0" w:after="0" w:line="480" w:lineRule="auto"/>
        <w:ind w:firstLine="720"/>
        <w:jc w:val="both"/>
        <w:rPr/>
      </w:pPr>
      <w:r>
        <w:rPr>
          <w:rFonts w:ascii="Georgia" w:cs="Georgia" w:eastAsia="Georgia" w:hAnsi="Georgia"/>
          <w:b w:val="1"/>
          <w:bCs w:val="1"/>
          <w:i w:val="0"/>
          <w:iCs w:val="0"/>
          <w:sz w:val="22"/>
          <w:szCs w:val="22"/>
          <w:rtl w:val="0"/>
        </w:rPr>
        <w:t xml:space="preserve">Clause-Level Hedges, </w:t>
      </w:r>
      <w:r>
        <w:rPr>
          <w:rFonts w:ascii="Georgia" w:cs="Georgia" w:eastAsia="Georgia" w:hAnsi="Georgia"/>
          <w:b w:val="0"/>
          <w:bCs w:val="0"/>
          <w:i w:val="0"/>
          <w:iCs w:val="0"/>
          <w:sz w:val="22"/>
          <w:szCs w:val="22"/>
          <w:rtl w:val="0"/>
        </w:rPr>
        <w:t xml:space="preserve">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C">
      <w:pPr>
        <w:spacing w:before="0" w:after="0" w:line="480" w:lineRule="auto"/>
        <w:ind w:firstLine="720"/>
        <w:jc w:val="both"/>
        <w:rPr/>
      </w:pPr>
      <w:r>
        <w:rPr>
          <w:rFonts w:ascii="Georgia" w:cs="Georgia" w:eastAsia="Georgia" w:hAnsi="Georgia"/>
          <w:b w:val="1"/>
          <w:bCs w:val="1"/>
          <w:i w:val="0"/>
          <w:iCs w:val="0"/>
          <w:sz w:val="22"/>
          <w:szCs w:val="22"/>
          <w:rtl w:val="0"/>
        </w:rPr>
        <w:t xml:space="preserve">Corpus-Assisted Discourse Analysis, </w:t>
      </w:r>
      <w:r>
        <w:rPr>
          <w:rFonts w:ascii="Georgia" w:cs="Georgia" w:eastAsia="Georgia" w:hAnsi="Georgia"/>
          <w:b w:val="0"/>
          <w:bCs w:val="0"/>
          <w:i w:val="0"/>
          <w:iCs w:val="0"/>
          <w:sz w:val="22"/>
          <w:szCs w:val="22"/>
          <w:rtl w:val="0"/>
        </w:rPr>
        <w:t xml:space="preserve">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cs="Georgia" w:eastAsia="Georgia" w:hAnsi="Georgia"/>
          <w:b w:val="1"/>
          <w:bCs w:val="1"/>
          <w:i w:val="0"/>
          <w:iCs w:val="0"/>
          <w:sz w:val="22"/>
          <w:szCs w:val="22"/>
          <w:rtl w:val="0"/>
        </w:rPr>
        <w:t xml:space="preserve">Disciplinary Variation, </w:t>
      </w:r>
      <w:r>
        <w:rPr>
          <w:rFonts w:ascii="Georgia" w:cs="Georgia" w:eastAsia="Georgia" w:hAnsi="Georgia"/>
          <w:b w:val="0"/>
          <w:bCs w:val="0"/>
          <w:i w:val="0"/>
          <w:iCs w:val="0"/>
          <w:sz w:val="22"/>
          <w:szCs w:val="22"/>
          <w:rtl w:val="0"/>
        </w:rPr>
        <w:t xml:space="preserve">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cs="Georgia" w:eastAsia="Georgia" w:hAnsi="Georgia"/>
          <w:b w:val="1"/>
          <w:bCs w:val="1"/>
          <w:i w:val="0"/>
          <w:iCs w:val="0"/>
          <w:sz w:val="22"/>
          <w:szCs w:val="22"/>
          <w:rtl w:val="0"/>
        </w:rPr>
        <w:t xml:space="preserve">Epistemic Stance, </w:t>
      </w:r>
      <w:r>
        <w:rPr>
          <w:rFonts w:ascii="Georgia" w:cs="Georgia" w:eastAsia="Georgia" w:hAnsi="Georgia"/>
          <w:b w:val="0"/>
          <w:bCs w:val="0"/>
          <w:i w:val="0"/>
          <w:iCs w:val="0"/>
          <w:sz w:val="22"/>
          <w:szCs w:val="22"/>
          <w:rtl w:val="0"/>
        </w:rPr>
        <w:t xml:space="preserve">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indicates a stance of certainty or absolute commitment.</w:t>
      </w:r>
      <w:r>
        <w:rPr>
          <w:rtl w:val="0"/>
        </w:rPr>
      </w:r>
    </w:p>
    <w:p w:rsidR="00000000" w:rsidDel="00000000" w:rsidP="00000000" w:rsidRDefault="00000000" w:rsidRPr="00000000" w14:paraId="0000006F">
      <w:pPr>
        <w:spacing w:before="0" w:after="0" w:line="480" w:lineRule="auto"/>
        <w:ind w:firstLine="720"/>
        <w:jc w:val="both"/>
        <w:rPr/>
      </w:pPr>
      <w:r>
        <w:rPr>
          <w:rFonts w:ascii="Georgia" w:cs="Georgia" w:eastAsia="Georgia" w:hAnsi="Georgia"/>
          <w:b w:val="1"/>
          <w:bCs w:val="1"/>
          <w:i w:val="0"/>
          <w:iCs w:val="0"/>
          <w:sz w:val="22"/>
          <w:szCs w:val="22"/>
          <w:rtl w:val="0"/>
        </w:rPr>
        <w:t xml:space="preserve">Hedge Function, </w:t>
      </w:r>
      <w:r>
        <w:rPr>
          <w:rFonts w:ascii="Georgia" w:cs="Georgia" w:eastAsia="Georgia" w:hAnsi="Georgia"/>
          <w:b w:val="0"/>
          <w:bCs w:val="0"/>
          <w:i w:val="0"/>
          <w:iCs w:val="0"/>
          <w:sz w:val="22"/>
          <w:szCs w:val="22"/>
          <w:rtl w:val="0"/>
        </w:rPr>
        <w:t xml:space="preserve">conceptually, hedge function refers to the rhetorical purpose a hedging device serves in its discourse context. Operationally, this refers to three categories coded in this study based on Hyland’s (1998) framework.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cs="Georgia" w:eastAsia="Georgia" w:hAnsi="Georgia"/>
          <w:b w:val="1"/>
          <w:bCs w:val="1"/>
          <w:i w:val="0"/>
          <w:iCs w:val="0"/>
          <w:sz w:val="22"/>
          <w:szCs w:val="22"/>
          <w:rtl w:val="0"/>
        </w:rPr>
        <w:t xml:space="preserve">Hedging, </w:t>
      </w:r>
      <w:r>
        <w:rPr>
          <w:rFonts w:ascii="Georgia" w:cs="Georgia" w:eastAsia="Georgia" w:hAnsi="Georgia"/>
          <w:b w:val="0"/>
          <w:bCs w:val="0"/>
          <w:i w:val="0"/>
          <w:iCs w:val="0"/>
          <w:sz w:val="22"/>
          <w:szCs w:val="22"/>
          <w:rtl w:val="0"/>
        </w:rPr>
        <w:t xml:space="preserve">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71">
      <w:pPr>
        <w:spacing w:before="0" w:after="0" w:line="480" w:lineRule="auto"/>
        <w:ind w:firstLine="720"/>
        <w:jc w:val="both"/>
        <w:rPr/>
      </w:pPr>
      <w:r>
        <w:rPr>
          <w:rFonts w:ascii="Georgia" w:cs="Georgia" w:eastAsia="Georgia" w:hAnsi="Georgia"/>
          <w:b w:val="1"/>
          <w:bCs w:val="1"/>
          <w:i w:val="0"/>
          <w:iCs w:val="0"/>
          <w:sz w:val="22"/>
          <w:szCs w:val="22"/>
          <w:rtl w:val="0"/>
        </w:rPr>
        <w:t xml:space="preserve">Lexical Hedges, </w:t>
      </w:r>
      <w:r>
        <w:rPr>
          <w:rFonts w:ascii="Georgia" w:cs="Georgia" w:eastAsia="Georgia" w:hAnsi="Georgia"/>
          <w:b w:val="0"/>
          <w:bCs w:val="0"/>
          <w:i w:val="0"/>
          <w:iCs w:val="0"/>
          <w:sz w:val="22"/>
          <w:szCs w:val="22"/>
          <w:rtl w:val="0"/>
        </w:rPr>
        <w:t xml:space="preserve">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rsidR="00000000" w:rsidDel="00000000" w:rsidP="00000000" w:rsidRDefault="00000000" w:rsidRPr="00000000" w14:paraId="00000072">
      <w:pPr>
        <w:spacing w:before="0" w:after="0" w:line="480" w:lineRule="auto"/>
        <w:ind w:firstLine="720"/>
        <w:jc w:val="both"/>
        <w:rPr/>
      </w:pPr>
      <w:r>
        <w:rPr>
          <w:rFonts w:ascii="Georgia" w:cs="Georgia" w:eastAsia="Georgia" w:hAnsi="Georgia"/>
          <w:b w:val="1"/>
          <w:bCs w:val="1"/>
          <w:i w:val="0"/>
          <w:iCs w:val="0"/>
          <w:sz w:val="22"/>
          <w:szCs w:val="22"/>
          <w:rtl w:val="0"/>
        </w:rPr>
        <w:t xml:space="preserve">Modal Verbs, </w:t>
      </w:r>
      <w:r>
        <w:rPr>
          <w:rFonts w:ascii="Georgia" w:cs="Georgia" w:eastAsia="Georgia" w:hAnsi="Georgia"/>
          <w:b w:val="0"/>
          <w:bCs w:val="0"/>
          <w:i w:val="0"/>
          <w:iCs w:val="0"/>
          <w:sz w:val="22"/>
          <w:szCs w:val="22"/>
          <w:rtl w:val="0"/>
        </w:rPr>
        <w:t xml:space="preserve">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cs="Georgia" w:eastAsia="Georgia" w:hAnsi="Georgia"/>
          <w:b w:val="1"/>
          <w:bCs w:val="1"/>
          <w:i w:val="0"/>
          <w:iCs w:val="0"/>
          <w:sz w:val="22"/>
          <w:szCs w:val="22"/>
          <w:rtl w:val="0"/>
        </w:rPr>
        <w:t xml:space="preserve">Normalized Frequency, </w:t>
      </w:r>
      <w:r>
        <w:rPr>
          <w:rFonts w:ascii="Georgia" w:cs="Georgia" w:eastAsia="Georgia" w:hAnsi="Georgia"/>
          <w:b w:val="0"/>
          <w:bCs w:val="0"/>
          <w:i w:val="0"/>
          <w:iCs w:val="0"/>
          <w:sz w:val="22"/>
          <w:szCs w:val="22"/>
          <w:rtl w:val="0"/>
        </w:rPr>
        <w:t xml:space="preserve">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Pro Forma Hedging, </w:t>
      </w:r>
      <w:r>
        <w:rPr>
          <w:rFonts w:ascii="Georgia" w:cs="Georgia" w:eastAsia="Georgia" w:hAnsi="Georgia"/>
          <w:b w:val="0"/>
          <w:bCs w:val="0"/>
          <w:i w:val="0"/>
          <w:iCs w:val="0"/>
          <w:sz w:val="22"/>
          <w:szCs w:val="22"/>
          <w:rtl w:val="0"/>
        </w:rPr>
        <w:t xml:space="preserve">conceptually, pro forma hedging refers to the deployment of hedge-like lexical items (e.g., potential) in formulaic syntactic frames without corresponding adjustment of the writer’s commitment to the claim. Operationally, this term is applied in the present study to the observed pattern where a single lexical token (“potential”) appears in nearly identical syntactic positions across multiple abstracts while all hedges serve a single function. The term is offered as a descriptive label, not as an established construct in the hedging literature.</w:t>
      </w:r>
      <w:r>
        <w:rPr>
          <w:rtl w:val="0"/>
        </w:rPr>
      </w:r>
    </w:p>
    <w:p w:rsidR="00000000" w:rsidDel="00000000" w:rsidP="00000000" w:rsidRDefault="00000000" w:rsidRPr="00000000" w14:paraId="00000077">
      <w:pPr>
        <w:keepLines w:val="1"/>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Hedging is not a standard component of academic writing curricula in most Philippine universities, which tend to emphasize structure and grammatical correctness. Developing researchers writing thesis abstracts were therefore producing a genre that demanded hedging with limited explicit preparation for its epistemic requirements. These conditions made PSAU a representative site for examining developing researchers' disciplinary hedging in the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r>
        <w:rPr>
          <w:rtl w:val="0"/>
        </w:rPr>
      </w:r>
    </w:p>
    <w:p w:rsidR="00000000" w:rsidDel="00000000" w:rsidP="00000000" w:rsidRDefault="00000000" w:rsidRPr="00000000" w14:paraId="00000082">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cs="Georgia" w:eastAsia="Georgia" w:hAnsi="Georgia"/>
          <w:b w:val="1"/>
          <w:bCs w:val="1"/>
          <w:i w:val="0"/>
          <w:iCs w:val="0"/>
          <w:sz w:val="22"/>
          <w:szCs w:val="22"/>
          <w:rtl w:val="0"/>
        </w:rPr>
        <w:t xml:space="preserve">a. Requesting Permission. </w:t>
      </w:r>
      <w:r>
        <w:rPr>
          <w:rFonts w:ascii="Georgia" w:cs="Georgia" w:eastAsia="Georgia" w:hAnsi="Georgia"/>
          <w:b w:val="0"/>
          <w:bCs w:val="0"/>
          <w:i w:val="0"/>
          <w:iCs w:val="0"/>
          <w:sz w:val="22"/>
          <w:szCs w:val="22"/>
          <w:rtl w:val="0"/>
        </w:rPr>
        <w:t xml:space="preserve">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cs="Georgia" w:eastAsia="Georgia" w:hAnsi="Georgia"/>
          <w:b w:val="1"/>
          <w:bCs w:val="1"/>
          <w:i w:val="0"/>
          <w:iCs w:val="0"/>
          <w:sz w:val="22"/>
          <w:szCs w:val="22"/>
          <w:rtl w:val="0"/>
        </w:rPr>
        <w:t xml:space="preserve">b. Corpus Construction. </w:t>
      </w:r>
      <w:r>
        <w:rPr>
          <w:rFonts w:ascii="Georgia" w:cs="Georgia" w:eastAsia="Georgia" w:hAnsi="Georgia"/>
          <w:b w:val="0"/>
          <w:bCs w:val="0"/>
          <w:i w:val="0"/>
          <w:iCs w:val="0"/>
          <w:sz w:val="22"/>
          <w:szCs w:val="22"/>
          <w:rtl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 Animal Science, and n=10 for Agriculture —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cs="Georgia" w:eastAsia="Georgia" w:hAnsi="Georgia"/>
          <w:b w:val="1"/>
          <w:bCs w:val="1"/>
          <w:i w:val="0"/>
          <w:iCs w:val="0"/>
          <w:sz w:val="22"/>
          <w:szCs w:val="22"/>
          <w:rtl w:val="0"/>
        </w:rPr>
        <w:t xml:space="preserve">c. Text Extraction. </w:t>
      </w:r>
      <w:r>
        <w:rPr>
          <w:rFonts w:ascii="Georgia" w:cs="Georgia" w:eastAsia="Georgia" w:hAnsi="Georgia"/>
          <w:b w:val="0"/>
          <w:bCs w:val="0"/>
          <w:i w:val="0"/>
          <w:iCs w:val="0"/>
          <w:sz w:val="22"/>
          <w:szCs w:val="22"/>
          <w:rtl w:val="0"/>
        </w:rPr>
        <w:t xml:space="preserve">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cs="Georgia" w:eastAsia="Georgia" w:hAnsi="Georgia"/>
          <w:b w:val="1"/>
          <w:bCs w:val="1"/>
          <w:i w:val="0"/>
          <w:iCs w:val="0"/>
          <w:sz w:val="22"/>
          <w:szCs w:val="22"/>
          <w:rtl w:val="0"/>
        </w:rPr>
        <w:t xml:space="preserve">d. Pilot Testing and Reliability Checking. </w:t>
      </w:r>
      <w:r>
        <w:rPr>
          <w:rFonts w:ascii="Georgia" w:cs="Georgia" w:eastAsia="Georgia" w:hAnsi="Georgia"/>
          <w:b w:val="0"/>
          <w:bCs w:val="0"/>
          <w:i w:val="0"/>
          <w:iCs w:val="0"/>
          <w:sz w:val="22"/>
          <w:szCs w:val="22"/>
          <w:rtl w:val="0"/>
        </w:rPr>
        <w:t xml:space="preserve">A pilot test was conducted on 4 abstracts not included in the final corpus to refine the coding scheme and establish decision rules for ambiguous cases (see Appendix A). Pilot abstracts were drawn from the PSAU library archives but from theses completed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cs="Georgia" w:eastAsia="Georgia" w:hAnsi="Georgia"/>
          <w:b w:val="1"/>
          <w:bCs w:val="1"/>
          <w:i w:val="0"/>
          <w:iCs w:val="0"/>
          <w:sz w:val="22"/>
          <w:szCs w:val="22"/>
          <w:rtl w:val="0"/>
        </w:rPr>
        <w:t xml:space="preserve">e. Data Analysis. </w:t>
      </w:r>
      <w:r>
        <w:rPr>
          <w:rFonts w:ascii="Georgia" w:cs="Georgia" w:eastAsia="Georgia" w:hAnsi="Georgia"/>
          <w:b w:val="0"/>
          <w:bCs w:val="0"/>
          <w:i w:val="0"/>
          <w:iCs w:val="0"/>
          <w:sz w:val="22"/>
          <w:szCs w:val="22"/>
          <w:rtl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r>
        <w:rPr>
          <w:rtl w:val="0"/>
        </w:rPr>
      </w:r>
    </w:p>
    <w:p w:rsidR="00000000" w:rsidDel="00000000" w:rsidP="00000000" w:rsidRDefault="00000000" w:rsidRPr="00000000" w14:paraId="0000008C">
      <w:pPr>
        <w:spacing w:before="0" w:after="0" w:line="480" w:lineRule="auto"/>
        <w:ind w:firstLine="720"/>
        <w:jc w:val="both"/>
        <w:rPr/>
      </w:pPr>
      <w:r>
        <w:rPr>
          <w:rFonts w:ascii="Georgia" w:cs="Georgia" w:eastAsia="Georgia" w:hAnsi="Georgia"/>
          <w:b w:val="1"/>
          <w:bCs w:val="1"/>
          <w:i w:val="0"/>
          <w:iCs w:val="0"/>
          <w:sz w:val="22"/>
          <w:szCs w:val="22"/>
          <w:rtl w:val="0"/>
        </w:rPr>
        <w:t xml:space="preserve">f. Timeline. </w:t>
      </w:r>
      <w:r>
        <w:rPr>
          <w:rFonts w:ascii="Georgia" w:cs="Georgia" w:eastAsia="Georgia" w:hAnsi="Georgia"/>
          <w:b w:val="0"/>
          <w:bCs w:val="0"/>
          <w:i w:val="0"/>
          <w:iCs w:val="0"/>
          <w:sz w:val="22"/>
          <w:szCs w:val="22"/>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CODING REVISIONS AND BORDERLINE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Following an initial coding pass, borderline tokens were re-examined using the contextual decision rules in Appendix A. Particular attention was given to potentially ambiguous forms such as can, potential, indicating, and possibility, because these forms may function either as epistemic hedges or as non-epistemic lexical items depending on context. Four rule refinements were applied during this revision pass. First, “can” combined with an active content verb describing a treatment effect (enhance, promote, reduce, help) was classified as capability (FP-Cap) regardless of whether it appeared inside a “suggests that” clause, because the Working Test showed that removing “can” alone did not change the epistemic weight of the clause when “suggests” was already carrying the hedge. Second, the “indicating” tautology test was extended beyond numeric restatement to cover field-standard interpretive thresholds: “non-toxic” from no mortality observed, “limited benefits” from poor performance, and “superior feed efficiency” from lower feed conversion ratio were all reclassified as operational restatements (FP-Gen) rather than inferential hedges. Third, the “potential + noun” topic-naming rule was extended to “possibility + noun” in aim and methods sentences. Structural position is used as a coding heuristic for these forms, but the Working Test takes priority when the two conflict: a token that changes epistemic commitment is coded as a Lexical hedge (EC) even in an introduction or rationale sentence. Fourth, a multi-hedge Working Test rule was added: when a sentence contains multiple hedge-like tokens, each token is tested individually in isolation, ignoring the other hedges in the sentence; a token counts only if removing it alone changes the epistemic weight of its own clause. The final corpus therefore reflects contextual rather than purely lexical classification, and the 63 rejected candidates document the decision trail for tokens that were considered but ultimately excluded. Additionally, the outlier abstract Acs2 was found to use a repeated hedging template (“This suggests that while X might not have been Y, Z could still [verb] beneficial effects”) twice with light variation, inflating its own token count through formulaic repetition rather than independent hedging decisions.</w:t>
      </w:r>
      <w:r>
        <w:rPr>
          <w:rtl w:val="0"/>
        </w:rPr>
      </w:r>
    </w:p>
    <w:p w:rsidR="00000000" w:rsidDel="00000000" w:rsidP="00000000" w:rsidRDefault="00000000" w:rsidRPr="00000000" w14:paraId="00000091">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uses a text corpus rather than human participants. The corpus consists of 60 undergraduate thesis abstracts from Agriculture, Veterinary Medicine, and Biology programs at PSAU. This study employs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means the sampling rate varies by population size, prioritizing equal sample sizes over proportional representation. For the Agriculture discipline, the sample is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and Wang (2022) used similar per-discipline proportions. For a manually coded functional analysis at a single institution, 60 texts allow sufficient depth of interpretation within the timeframe and resources of a BA thesis. The study treats findings as baseline descriptive data for institutional curriculum review.</w:t>
      </w:r>
      <w:r>
        <w:rPr>
          <w:rtl w:val="0"/>
        </w:rPr>
      </w:r>
    </w:p>
    <w:p>
      <w:pPr>
        <w:keepNext w:val="1"/>
        <w:keepLines w:val="1"/>
        <w:spacing w:before="720" w:after="0" w:line="480" w:lineRule="auto"/>
        <w:jc w:val="center"/>
      </w:pPr>
      <w:r>
        <w:rPr>
          <w:rFonts w:ascii="Georgia" w:hAnsi="Georgia"/>
          <w:b/>
          <w:sz w:val="24"/>
        </w:rPr>
        <w:t>Table 1</w:t>
      </w:r>
    </w:p>
    <w:p>
      <w:pPr>
        <w:keepNext w:val="1"/>
        <w:keepLines w:val="1"/>
        <w:spacing w:before="0" w:after="60" w:line="480" w:lineRule="auto"/>
        <w:jc w:val="center"/>
      </w:pPr>
      <w:r>
        <w:rPr>
          <w:rFonts w:ascii="Georgia" w:hAnsi="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val="1"/>
          <w:tblHeader w:val="0"/>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val="1"/>
          <w:tblHeader w:val="0"/>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val="1"/>
          <w:tblHeader w:val="0"/>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val="1"/>
          <w:tblHeader w:val="0"/>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cs="Georgia" w:eastAsia="Georgia" w:hAnsi="Georgia"/>
          <w:b w:val="1"/>
          <w:bCs w:val="1"/>
          <w:i w:val="0"/>
          <w:iCs w:val="0"/>
          <w:sz w:val="22"/>
          <w:szCs w:val="22"/>
          <w:rtl w:val="0"/>
        </w:rPr>
        <w:t xml:space="preserve">Inclusion Criteria. </w:t>
      </w:r>
      <w:r>
        <w:rPr>
          <w:rFonts w:ascii="Georgia" w:cs="Georgia" w:eastAsia="Georgia" w:hAnsi="Georgia"/>
          <w:b w:val="0"/>
          <w:bCs w:val="0"/>
          <w:i w:val="0"/>
          <w:iCs w:val="0"/>
          <w:sz w:val="22"/>
          <w:szCs w:val="22"/>
          <w:rtl w:val="0"/>
        </w:rPr>
        <w:t xml:space="preserve">English-language undergraduate thesis abstracts; complete abstracts available in the PSAU library archives; clear disciplinary classification based on official degree program; thesis completion between 2023 and 2025.</w:t>
      </w:r>
      <w:r>
        <w:rPr>
          <w:rtl w:val="0"/>
        </w:rPr>
      </w:r>
    </w:p>
    <w:p w:rsidR="00000000" w:rsidDel="00000000" w:rsidP="00000000" w:rsidRDefault="00000000" w:rsidRPr="00000000" w14:paraId="000000C0">
      <w:pPr>
        <w:spacing w:before="0" w:after="0" w:line="480" w:lineRule="auto"/>
        <w:ind w:firstLine="720"/>
        <w:jc w:val="both"/>
        <w:rPr/>
      </w:pPr>
      <w:r>
        <w:rPr>
          <w:rFonts w:ascii="Georgia" w:cs="Georgia" w:eastAsia="Georgia" w:hAnsi="Georgia"/>
          <w:b w:val="1"/>
          <w:bCs w:val="1"/>
          <w:i w:val="0"/>
          <w:iCs w:val="0"/>
          <w:sz w:val="22"/>
          <w:szCs w:val="22"/>
          <w:rtl w:val="0"/>
        </w:rPr>
        <w:t xml:space="preserve">Exclusion Criteria. </w:t>
      </w:r>
      <w:r>
        <w:rPr>
          <w:rFonts w:ascii="Georgia" w:cs="Georgia" w:eastAsia="Georgia" w:hAnsi="Georgia"/>
          <w:b w:val="0"/>
          <w:bCs w:val="0"/>
          <w:i w:val="0"/>
          <w:iCs w:val="0"/>
          <w:sz w:val="22"/>
          <w:szCs w:val="22"/>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completed before 2023.</w:t>
      </w:r>
      <w:r>
        <w:rPr>
          <w:rtl w:val="0"/>
        </w:rPr>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Ethical Considerations. </w:t>
      </w:r>
      <w:r>
        <w:rPr>
          <w:rFonts w:ascii="Georgia" w:cs="Georgia" w:eastAsia="Georgia" w:hAnsi="Georgia"/>
          <w:b w:val="0"/>
          <w:bCs w:val="0"/>
          <w:i w:val="0"/>
          <w:iCs w:val="0"/>
          <w:sz w:val="22"/>
          <w:szCs w:val="22"/>
          <w:rtl w:val="0"/>
        </w:rPr>
        <w:t xml:space="preserve">Abstracts were accessed on-site at the PSAU Library with proper authorization. Student names and thesis titles were fully anonymized using discipline codes (Acs1–Acs10, Aas1–Aas10, VM1–VM20, B1–B20) before analysis began. The study analyzed linguistic patterns in text, not student performance or personal information. All data files were stored on password-protected devices and encrypted cloud storage accessible only to the researcher and thesis adviser. These files will be retained for five years to support verification of coding decisions by future researchers and to allow for follow-up comparative studies, after which they will be permanently deleted in line with standard academic data retention practice.</w:t>
      </w:r>
      <w:r>
        <w:rPr>
          <w:rtl w:val="0"/>
        </w:rPr>
      </w:r>
    </w:p>
    <w:p w:rsidR="00000000" w:rsidDel="00000000" w:rsidP="00000000" w:rsidRDefault="00000000" w:rsidRPr="00000000" w14:paraId="000000C4">
      <w:pPr>
        <w:keepLines w:val="1"/>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what the frequency and functional patterns suggest about the discipline-specific hedging profile of developing researchers.</w:t>
      </w:r>
      <w:r>
        <w:rPr>
          <w:rtl w:val="0"/>
        </w:rPr>
      </w:r>
    </w:p>
    <w:p w:rsidR="00000000" w:rsidDel="00000000" w:rsidP="00000000" w:rsidRDefault="00000000" w:rsidRPr="00000000" w14:paraId="000000CA">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cs="Georgia" w:eastAsia="Georgia" w:hAnsi="Georgia"/>
          <w:b w:val="0"/>
          <w:bCs w:val="0"/>
          <w:i w:val="0"/>
          <w:iCs w:val="0"/>
          <w:sz w:val="22"/>
          <w:szCs w:val="22"/>
          <w:rtl w:val="0"/>
        </w:rPr>
        <w:t xml:space="preserve">The coding identified 60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p>
      <w:pPr>
        <w:keepNext w:val="1"/>
        <w:keepLines w:val="1"/>
        <w:spacing w:before="720" w:after="0" w:line="480" w:lineRule="auto"/>
        <w:jc w:val="center"/>
      </w:pPr>
      <w:r>
        <w:rPr>
          <w:rFonts w:ascii="Georgia" w:hAnsi="Georgia"/>
          <w:b/>
          <w:sz w:val="24"/>
        </w:rPr>
        <w:t>Table 2</w:t>
      </w:r>
    </w:p>
    <w:p>
      <w:pPr>
        <w:keepNext w:val="1"/>
        <w:keepLines w:val="1"/>
        <w:spacing w:before="0" w:after="60" w:line="480" w:lineRule="auto"/>
        <w:jc w:val="center"/>
      </w:pPr>
      <w:r>
        <w:rPr>
          <w:rFonts w:ascii="Georgia" w:hAnsi="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35.0%</w:t>
            </w:r>
            <w:r>
              <w:rPr>
                <w:rtl w:val="0"/>
                <w:sz w:val="18"/>
                <w:szCs w:val="18"/>
                <w:rFonts w:ascii="Georgia" w:hAnsi="Georgia"/>
              </w:rPr>
            </w:r>
          </w:p>
        </w:tc>
      </w:tr>
      <w:tr>
        <w:trPr>
          <w:cantSplit w:val="1"/>
          <w:tblHeader w:val="0"/>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36</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60.0%</w:t>
            </w:r>
            <w:r>
              <w:rPr>
                <w:rtl w:val="0"/>
                <w:sz w:val="18"/>
                <w:szCs w:val="18"/>
                <w:rFonts w:ascii="Georgia" w:hAnsi="Georgia"/>
              </w:rPr>
            </w:r>
          </w:p>
        </w:tc>
      </w:tr>
      <w:tr>
        <w:trPr>
          <w:cantSplit w:val="1"/>
          <w:tblHeader w:val="0"/>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5.0%</w:t>
            </w:r>
            <w:r>
              <w:rPr>
                <w:rtl w:val="0"/>
                <w:sz w:val="18"/>
                <w:szCs w:val="18"/>
                <w:rFonts w:ascii="Georgia" w:hAnsi="Georgia"/>
              </w:rPr>
            </w:r>
          </w:p>
        </w:tc>
      </w:tr>
      <w:tr>
        <w:trPr>
          <w:cantSplit w:val="1"/>
          <w:tblHeader w:val="0"/>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 xml:space="preserve">Table 2 presents the overall distribution of hedge types. Lexical hedges dominated the corpus with 36 instances (60.0%), followed by modal verbs with 21 instances (35.0%), and adverbial hedges with 3 instances (5.0%). No clause-level hedges were identified in any of the 60 abstracts. This finding partially confirms the pattern reported in the literature, where modal verbs are typically the most frequent hedge type in developing researchers' writing (Khunasathitchai et al., 2025;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 xml:space="preserve">Within the lexical hedge category, the token “potential” accounted for 14 of the 36 lexical instances (38.9%), the single most frequent hedge token in the corpus. Other frequent lexical forms included “suggests” (7), “indicating” (6), and “suggesting” (3). Modal verbs were led by “can” (9), “could” (7), and “may” (6). Concordance of the 14 potential instances shows recurring frames such as “the potential of X as a Y,” “has potential as an X,” and “highlight their potential as X.” That recurrence supports reading many uses as learned formula rather than fully calibrated epistemic choice. Agriculture and Biology account for 11 of the 14 instances; Veterinary Medicine for 3.</w:t>
      </w:r>
      <w:r>
        <w:rPr>
          <w:rtl w:val="0"/>
        </w:rPr>
      </w:r>
    </w:p>
    <w:p w:rsidR="00000000" w:rsidDel="00000000" w:rsidP="00000000" w:rsidRDefault="00000000" w:rsidRPr="00000000" w14:paraId="000000E3">
      <w:pPr>
        <w:spacing w:before="0" w:after="0" w:line="480" w:lineRule="auto"/>
        <w:ind w:firstLine="720"/>
        <w:jc w:val="both"/>
        <w:rPr/>
      </w:pPr>
      <w:r>
        <w:rPr>
          <w:rFonts w:ascii="Georgia" w:cs="Georgia" w:eastAsia="Georgia" w:hAnsi="Georgia"/>
          <w:b w:val="0"/>
          <w:bCs w:val="0"/>
          <w:i w:val="0"/>
          <w:iCs w:val="0"/>
          <w:sz w:val="22"/>
          <w:szCs w:val="22"/>
          <w:rtl w:val="0"/>
        </w:rPr>
        <w:t xml:space="preserve">The distribution of hedge types also varies meaningfully across disciplines. Table 3 presents the per-discipline breakdown of hedge types.</w:t>
      </w:r>
      <w:r>
        <w:rPr>
          <w:rtl w:val="0"/>
        </w:rPr>
      </w:r>
    </w:p>
    <w:p>
      <w:pPr>
        <w:keepNext w:val="1"/>
        <w:keepLines w:val="1"/>
        <w:spacing w:before="720" w:after="0" w:line="480" w:lineRule="auto"/>
        <w:jc w:val="center"/>
      </w:pPr>
      <w:r>
        <w:rPr>
          <w:rFonts w:ascii="Georgia" w:hAnsi="Georgia"/>
          <w:b/>
          <w:sz w:val="24"/>
        </w:rPr>
        <w:t>Table 3</w:t>
      </w:r>
    </w:p>
    <w:p>
      <w:pPr>
        <w:keepNext w:val="1"/>
        <w:keepLines w:val="1"/>
        <w:spacing w:before="0" w:after="60" w:line="480" w:lineRule="auto"/>
        <w:jc w:val="center"/>
      </w:pPr>
      <w:r>
        <w:rPr>
          <w:rFonts w:ascii="Georgia" w:hAnsi="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(53.8%)</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12 (46.2%)</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26</w:t>
            </w:r>
            <w:r>
              <w:rPr>
                <w:rtl w:val="0"/>
                <w:sz w:val="18"/>
                <w:szCs w:val="18"/>
                <w:rFonts w:ascii="Georgia" w:hAnsi="Georgia"/>
              </w:rPr>
            </w:r>
          </w:p>
        </w:tc>
      </w:tr>
      <w:tr>
        <w:trPr>
          <w:cantSplit w:val="1"/>
          <w:tblHeader w:val="0"/>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(20.0%)</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17 (68.0%)</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(12.0%)</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r>
      <w:tr>
        <w:trPr>
          <w:cantSplit w:val="1"/>
          <w:tblHeader w:val="0"/>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(22.2%)</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7 (77.8%)</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9</w:t>
            </w:r>
            <w:r>
              <w:rPr>
                <w:rtl w:val="0"/>
                <w:sz w:val="18"/>
                <w:szCs w:val="18"/>
                <w:rFonts w:ascii="Georgia" w:hAnsi="Georgia"/>
              </w:rPr>
            </w:r>
          </w:p>
        </w:tc>
      </w:tr>
      <w:tr>
        <w:trPr>
          <w:cantSplit w:val="1"/>
          <w:tblHeader w:val="0"/>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(35.0%)</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36 (60.0%)</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(5.0%)</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cs="Georgia" w:eastAsia="Georgia" w:hAnsi="Georgia"/>
          <w:b w:val="0"/>
          <w:bCs w:val="0"/>
          <w:i w:val="0"/>
          <w:iCs w:val="0"/>
          <w:sz w:val="22"/>
          <w:szCs w:val="22"/>
          <w:rtl w:val="0"/>
        </w:rPr>
        <w:t xml:space="preserve">Table 3 reveals that Agriculture has a nearly balanced distribution (14 modal verbs, 53.8% vs. 12 lexical hedges, 46.2%), while Biology is heavily lexical (17 of 25 hedges, 68.0%, with only 5 modal verbs). Veterinary Medicine, with only 9 total hedges, is also predominantly lexical (7 of 9, 77.8%). This pattern suggests that Agriculture is the only discipline where modal verbs are used with any frequency, possibly reflecting a rhetorical style where writers are more comfortable expressing possibility directly through modal constructions. Biology’s heavy reliance on lexical hedges, particularly “potential,” suggests a preference for qualifying implications at the word level rather than managing uncertainty through modal verbs. The near-absence of adverbial hedges across all disciplines (only 3 instances, all in Biology) further confirms the narrowness of the hedging repertoire in this corpus.</w:t>
      </w:r>
      <w:r>
        <w:rPr>
          <w:rtl w:val="0"/>
        </w:rPr>
      </w:r>
    </w:p>
    <w:p w:rsidR="00000000" w:rsidDel="00000000" w:rsidP="00000000" w:rsidRDefault="00000000" w:rsidRPr="00000000" w14:paraId="0000010B">
      <w:pPr>
        <w:spacing w:before="0" w:after="0" w:line="480" w:lineRule="auto"/>
        <w:ind w:firstLine="720"/>
        <w:jc w:val="both"/>
        <w:rPr/>
      </w:pPr>
      <w:r>
        <w:rPr>
          <w:rFonts w:ascii="Georgia" w:cs="Georgia" w:eastAsia="Georgia" w:hAnsi="Georgia"/>
          <w:b w:val="0"/>
          <w:bCs w:val="0"/>
          <w:i w:val="0"/>
          <w:iCs w:val="0"/>
          <w:sz w:val="22"/>
          <w:szCs w:val="22"/>
          <w:rtl w:val="0"/>
        </w:rPr>
        <w:t xml:space="preserve">The absence of clause-level hedges is consistent with findings that developing researchers rarely use complex syntactic structures for epistemic management (Hyland &amp; Milton, 1997). Clause-level hedges such as “it seems that” or “it is possible that” require a degree of syntactic sophistication and rhetorical awareness that these researchers may not yet have developed. Their absence in this corpus suggests that PSAU researchers rely on simpler, word-level devices rather than clause-level constructions to manage uncertainty.</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63 false positive tokens, hedge-like words that were initially flagged but rejected after applying the codebook’s Working Test. The false positive breakdown shows FP-Gen (general exclusion, including topic-naming and evidential pointers) at 38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stricter rule for “potential + noun” constructions based on structural position rather than verb choice. This disambiguation rule is the most methodologically interesting feature of the coding scheme, as it demonstrates that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cs="Georgia" w:eastAsia="Georgia" w:hAnsi="Georgia"/>
          <w:b w:val="0"/>
          <w:bCs w:val="0"/>
          <w:i w:val="0"/>
          <w:iCs w:val="0"/>
          <w:sz w:val="22"/>
          <w:szCs w:val="22"/>
          <w:rtl w:val="0"/>
        </w:rPr>
        <w:t xml:space="preserve">Additionally, 37 unhedged assertion sites were identified in the 28 zero-hedge abstracts. Of these, 24 were classified as result claims [R], 9 as generalizations [G], and 4 as causal claims [C]. These sites represent clauses where a hedge could have been inserted without changing the underlying facts, but the writer chose to state the claim with bare certainty. The presence of these unhedged sites in abstracts that contain zero hedges indicates an absence of overt hedging rather than cautious reporting. Expert abstracts rarely contain zero hedges (Hyland, 1998), making the 46.7% zero-hedge rate in this corpus a sharp departure from expert norms.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 xml:space="preserve">Booster analysis of the 28 zero-hedge abstracts revealed 88 booster tokens, averaging approximately 3.1 boosters per abstract. The most frequent boosters were showed (18 instances), revealed (13), observed (12), and highest (12). This density of assertive markers confirms that zero-hedge abstracts do not represent neutral reporting but rather an absence of overt hedging, where findings are stated with emphatic rather than tentative language.</w:t>
      </w:r>
      <w:r>
        <w:rPr>
          <w:rtl w:val="0"/>
        </w:rPr>
      </w:r>
    </w:p>
    <w:p w:rsidR="00000000" w:rsidDel="00000000" w:rsidP="00000000" w:rsidRDefault="00000000" w:rsidRPr="00000000" w14:paraId="00000110">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cs="Georgia" w:eastAsia="Georgia" w:hAnsi="Georgia"/>
          <w:b w:val="0"/>
          <w:bCs w:val="0"/>
          <w:i w:val="0"/>
          <w:iCs w:val="0"/>
          <w:sz w:val="22"/>
          <w:szCs w:val="22"/>
          <w:rtl w:val="0"/>
        </w:rPr>
        <w:t xml:space="preserve">Cross-disciplinary comparison reveals substantial variation in hedge density. Table 4 presents the hedge counts, false positives, unhedged sites, and normalized frequency (hedges per 100 words) for each discipline.</w:t>
      </w:r>
      <w:r>
        <w:rPr>
          <w:rtl w:val="0"/>
        </w:rPr>
      </w:r>
    </w:p>
    <w:p>
      <w:pPr>
        <w:keepNext w:val="1"/>
        <w:keepLines w:val="1"/>
        <w:spacing w:before="720" w:after="0" w:line="480" w:lineRule="auto"/>
        <w:jc w:val="center"/>
      </w:pPr>
      <w:r>
        <w:rPr>
          <w:rFonts w:ascii="Georgia" w:hAnsi="Georgia"/>
          <w:b/>
          <w:sz w:val="24"/>
        </w:rPr>
        <w:t>Table 4</w:t>
      </w:r>
    </w:p>
    <w:p>
      <w:pPr>
        <w:keepNext w:val="1"/>
        <w:keepLines w:val="1"/>
        <w:spacing w:before="0" w:after="60" w:line="480" w:lineRule="auto"/>
        <w:jc w:val="center"/>
      </w:pPr>
      <w:r>
        <w:rPr>
          <w:rFonts w:ascii="Georgia" w:hAnsi="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val="1"/>
          <w:tblHeader w:val="1"/>
        </w:trPr>
        <w:tc>
          <w:tcPr>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9">
            <w:pPr>
              <w:spacing w:before="0" w:after="0" w:line="240" w:lineRule="auto"/>
              <w:rPr/>
            </w:pPr>
            <w:r>
              <w:rPr>
                <w:rFonts w:ascii="Georgia" w:cs="Georgia" w:eastAsia="Georgia" w:hAnsi="Georgia"/>
                <w:b w:val="1"/>
                <w:bCs w:val="1"/>
                <w:i w:val="0"/>
                <w:iCs w:val="0"/>
                <w:sz w:val="18"/>
                <w:szCs w:val="18"/>
                <w:rtl w:val="0"/>
              </w:rPr>
              <w:t xml:space="preserve">L3 Sites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val="1"/>
          <w:tblHeader w:val="0"/>
        </w:trPr>
        <w:tc>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26</w:t>
            </w:r>
            <w:r>
              <w:rPr>
                <w:rtl w:val="0"/>
                <w:sz w:val="18"/>
                <w:szCs w:val="18"/>
                <w:rFonts w:ascii="Georgia" w:hAnsi="Georgia"/>
              </w:rPr>
            </w:r>
          </w:p>
        </w:tc>
        <w:tc>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15</w:t>
            </w:r>
            <w:r>
              <w:rPr>
                <w:rtl w:val="0"/>
                <w:sz w:val="18"/>
                <w:szCs w:val="18"/>
                <w:rFonts w:ascii="Georgia" w:hAnsi="Georgia"/>
              </w:rPr>
            </w:r>
          </w:p>
        </w:tc>
        <w:tc>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0.60</w:t>
            </w:r>
            <w:r>
              <w:rPr>
                <w:rtl w:val="0"/>
                <w:sz w:val="18"/>
                <w:szCs w:val="18"/>
                <w:rFonts w:ascii="Georgia" w:hAnsi="Georgia"/>
              </w:rPr>
            </w:r>
          </w:p>
        </w:tc>
      </w:tr>
      <w:tr>
        <w:trPr>
          <w:cantSplit w:val="1"/>
          <w:tblHeader w:val="0"/>
        </w:trPr>
        <w:tc>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35</w:t>
            </w:r>
            <w:r>
              <w:rPr>
                <w:rtl w:val="0"/>
                <w:sz w:val="18"/>
                <w:szCs w:val="18"/>
                <w:rFonts w:ascii="Georgia" w:hAnsi="Georgia"/>
              </w:rPr>
            </w:r>
          </w:p>
        </w:tc>
        <w:tc>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7</w:t>
            </w:r>
            <w:r>
              <w:rPr>
                <w:rtl w:val="0"/>
                <w:sz w:val="18"/>
                <w:szCs w:val="18"/>
                <w:rFonts w:ascii="Georgia" w:hAnsi="Georgia"/>
              </w:rPr>
            </w:r>
          </w:p>
        </w:tc>
        <w:tc>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0.55</w:t>
            </w:r>
            <w:r>
              <w:rPr>
                <w:rtl w:val="0"/>
                <w:sz w:val="18"/>
                <w:szCs w:val="18"/>
                <w:rFonts w:ascii="Georgia" w:hAnsi="Georgia"/>
              </w:rPr>
            </w:r>
          </w:p>
        </w:tc>
      </w:tr>
      <w:tr>
        <w:trPr>
          <w:cantSplit w:val="1"/>
          <w:tblHeader w:val="0"/>
        </w:trPr>
        <w:tc>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9</w:t>
            </w:r>
            <w:r>
              <w:rPr>
                <w:rtl w:val="0"/>
                <w:sz w:val="18"/>
                <w:szCs w:val="18"/>
                <w:rFonts w:ascii="Georgia" w:hAnsi="Georgia"/>
              </w:rPr>
            </w:r>
          </w:p>
        </w:tc>
        <w:tc>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13</w:t>
            </w:r>
            <w:r>
              <w:rPr>
                <w:rtl w:val="0"/>
                <w:sz w:val="18"/>
                <w:szCs w:val="18"/>
                <w:rFonts w:ascii="Georgia" w:hAnsi="Georgia"/>
              </w:rPr>
            </w:r>
          </w:p>
        </w:tc>
        <w:tc>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15</w:t>
            </w:r>
            <w:r>
              <w:rPr>
                <w:rtl w:val="0"/>
                <w:sz w:val="18"/>
                <w:szCs w:val="18"/>
                <w:rFonts w:ascii="Georgia" w:hAnsi="Georgia"/>
              </w:rPr>
            </w:r>
          </w:p>
        </w:tc>
        <w:tc>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13</w:t>
            </w:r>
            <w:r>
              <w:rPr>
                <w:rtl w:val="0"/>
                <w:sz w:val="18"/>
                <w:szCs w:val="18"/>
                <w:rFonts w:ascii="Georgia" w:hAnsi="Georgia"/>
              </w:rPr>
            </w:r>
          </w:p>
        </w:tc>
        <w:tc>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0.18</w:t>
            </w:r>
            <w:r>
              <w:rPr>
                <w:rtl w:val="0"/>
                <w:sz w:val="18"/>
                <w:szCs w:val="18"/>
                <w:rFonts w:ascii="Georgia" w:hAnsi="Georgia"/>
              </w:rPr>
            </w:r>
          </w:p>
        </w:tc>
      </w:tr>
      <w:tr>
        <w:trPr>
          <w:cantSplit w:val="1"/>
          <w:tblHeader w:val="0"/>
        </w:trPr>
        <w:tc>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63</w:t>
            </w:r>
            <w:r>
              <w:rPr>
                <w:rtl w:val="0"/>
                <w:sz w:val="18"/>
                <w:szCs w:val="18"/>
                <w:rFonts w:ascii="Georgia" w:hAnsi="Georgia"/>
              </w:rPr>
            </w:r>
          </w:p>
        </w:tc>
        <w:tc>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37</w:t>
            </w:r>
            <w:r>
              <w:rPr>
                <w:rtl w:val="0"/>
                <w:sz w:val="18"/>
                <w:szCs w:val="18"/>
                <w:rFonts w:ascii="Georgia" w:hAnsi="Georgia"/>
              </w:rPr>
            </w:r>
          </w:p>
        </w:tc>
        <w:tc>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0.43</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 xml:space="preserve">Table 4 shows that Agriculture had the highest hedge density at 0.60 per 100 words (26 hedges across 4,300 words), followed by Biology at 0.55 (25 hedges across 4,509 words), and Veterinary Medicine at 0.18 (9 hedges across 5,060 words). The overall corpus density was 0.43 hedges per 100 words. Agriculture’s lead over Biology is modest (0.05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28 (46.7%) contained zero hedge tokens. Veterinary Medicine accounted for 13 of these zero-hedge abstracts (65% of VM abstracts), Biology for 7 (35%), and Agriculture for 8 (40%). The overrepresentation of Veterinary Medicine in the zero-hedge category is the primary driver of its low density. More than half of VM abstracts contained no hedging devices at all, compared to 40% in Agriculture and 35% in Biology. A chi-square test of independence on the zero-hedge distribution across disciplines (discipline × zero/nonzero) was not significant (χ² = 4.15, df = 2, p = 0.13),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ungsuh" w:cs="Gungsuh" w:eastAsia="Gungsuh" w:hAnsi="Gungsuh"/>
          <w:b w:val="0"/>
          <w:bCs w:val="0"/>
          <w:i w:val="0"/>
          <w:iCs w:val="0"/>
          <w:sz w:val="22"/>
          <w:szCs w:val="22"/>
          <w:rtl w:val="0"/>
        </w:rPr>
        <w:t xml:space="preserve">Per-abstract hedge distributions reveal substantial skew. Agriculture abstracts averaged 1.30 hedges (median = 1, SD = 1.84, range = 0–8), Biology averaged 1.25 (median = 1, SD = 1.25, range = 0–4), and Veterinary Medicine averaged 0.45 (median = 0, SD = 0.76, range = 0–3). The high standard deviation in Agriculture reflects the influence of Acs2, which contained 8 hedges alone. When Acs2 is excluded as a sensitivity check, Agriculture's density drops to 0.44 per 100 words, below Biology's 0.55, suggesting that the Agriculture &gt; Biology ranking is partly driven by a single outlier abstract. An exploratory Kruskal-Wallis test on per-abstract hedge counts yielded H ≈ 5.91, p ≈ .052, suggesting a possible difference in the distribution of hedge counts across disciplines. Given the small sample size and zero-inflated distribution, this result should be treated as preliminary rather than as evidence of a significant disciplinary difference.</w:t>
      </w:r>
      <w:r>
        <w:rPr>
          <w:rtl w:val="0"/>
        </w:rPr>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 xml:space="preserve">Veterinary Medicine’s low density is more difficult to interpret. One possible explanation relates to the nature of VM research in this corpus. Many VM abstracts reported clinical findings from animal studies (e.g., drug efficacy trials, disease detection, hematological profiling). Several abstracts in the VM subset involved diagnostic or presence/absence-type outcomes, which may provide one possible explanation for the relatively categorical reporting observed in this corpus. A writer who finds that “no positive results were observed” may see little need to hedge, since the absence of a finding is reported as a fact rather than an interpretation. This is consistent with Salager-Meyer’s (1994) claim-responsibility framework: when the evidence is binary, the epistemic responsibility is lower, and hedging becomes less necessary.</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35 false positives, far more than Agriculture (15) or Veterinary Medicine (13).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 xml:space="preserve">All 60 hedge tokens in the corpus served the function of Epistemic Caution (EC). No instances of Politeness/Deference (P) or Discourse Organization (DO) were identified. Table 5 presents the function distribution.</w:t>
      </w:r>
      <w:r>
        <w:rPr>
          <w:rtl w:val="0"/>
        </w:rPr>
      </w:r>
    </w:p>
    <w:p>
      <w:pPr>
        <w:keepNext w:val="1"/>
        <w:keepLines w:val="1"/>
        <w:spacing w:before="720" w:after="0" w:line="480" w:lineRule="auto"/>
        <w:jc w:val="center"/>
      </w:pPr>
      <w:r>
        <w:rPr>
          <w:rFonts w:ascii="Georgia" w:hAnsi="Georgia"/>
          <w:b/>
          <w:sz w:val="24"/>
        </w:rPr>
        <w:t>Table 5</w:t>
      </w:r>
    </w:p>
    <w:p>
      <w:pPr>
        <w:keepNext w:val="1"/>
        <w:keepLines w:val="1"/>
        <w:spacing w:before="0" w:after="60" w:line="480" w:lineRule="auto"/>
        <w:jc w:val="center"/>
      </w:pPr>
      <w:r>
        <w:rPr>
          <w:rFonts w:ascii="Georgia" w:hAnsi="Georgia"/>
          <w:sz w:val="24"/>
        </w:rPr>
        <w:t>Hedge Function Distribution</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cantSplit w:val="1"/>
          <w:tblHeader w:val="0"/>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 xml:space="preserve">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tl w:val="0"/>
        </w:rPr>
        <w:t xml:space="preserve">The uniform assignment may reflect a restricted repertoire, the compressed abstract genre, the coding scheme, or single-rater interpretation; that limitation is noted in Scope. The narrow functional range is consistent with earlier findings on developing L2 writers (Hyland &amp; Milton, 1997).</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fall in implication and conclusion sentences rather than in direct results reporting. Forms such as potential and suggests/suggesting typically frame applications or interpretations, while results sentences more often use factive verbs (showed, revealed, demonstrated) without qualification. A formal move-structured count was not performed; this remains a qualitative pattern.</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 xml:space="preserve">The relationship between hedge type and function further illuminates the patterns. Modal verbs (21 instances, all EC) were used almost exclusively to express possibility about results or implications, as in “the biosynthesis... may affect the overall development.” Lexical hedges (36 instances, all EC) were used to qualify the strength of findings, as in “results suggest that fermented banana peel... can significantly enhance growth.” The convergence of all hedge types on a single function reinforces the interpretation that these writers view hedging primarily as a tool for managing factual certainty, not for managing social or textual relationships.</w:t>
      </w:r>
      <w:r>
        <w:rPr>
          <w:rtl w:val="0"/>
        </w:rPr>
      </w:r>
    </w:p>
    <w:p w:rsidR="00000000" w:rsidDel="00000000" w:rsidP="00000000" w:rsidRDefault="00000000" w:rsidRPr="00000000" w14:paraId="0000015F">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IV: DISCIPLINE-SPECIFIC HEDGING PROFILES</w:t>
      </w:r>
      <w:r>
        <w:rPr>
          <w:rtl w:val="0"/>
        </w:rPr>
      </w:r>
    </w:p>
    <w:p w:rsidR="00000000" w:rsidDel="00000000" w:rsidP="00000000" w:rsidRDefault="00000000" w:rsidRPr="00000000" w14:paraId="00000160">
      <w:pPr>
        <w:spacing w:before="0" w:after="0" w:line="480" w:lineRule="auto"/>
        <w:ind w:firstLine="720"/>
        <w:jc w:val="both"/>
        <w:rPr/>
      </w:pPr>
      <w:r>
        <w:rPr>
          <w:rFonts w:ascii="Gungsuh" w:cs="Gungsuh" w:eastAsia="Gungsuh" w:hAnsi="Gungsuh"/>
          <w:rtl w:val="0"/>
        </w:rPr>
        <w:t xml:space="preserve">Parts I through III show three observable patterns in this corpus. As reported in Part II, statistical support is borderline (Kruskal-Wallis p ≈ .052; chi-square on zero-hedge rates p = .13), so the labels below are exploratory descriptions of what was observed here, not stable discipline-level characteristics. Generalization beyond this corpus is not warranted. The patterns are read through Salager-Meyer’s (1994) claim-responsibility framework and Hyland’s (2005) stance model.</w:t>
      </w:r>
    </w:p>
    <w:p w:rsidR="00000000" w:rsidDel="00000000" w:rsidP="00000000" w:rsidRDefault="00000000" w:rsidRPr="00000000" w14:paraId="00000161">
      <w:pPr>
        <w:spacing w:before="0" w:after="0" w:line="480" w:lineRule="auto"/>
        <w:ind w:firstLine="720"/>
        <w:jc w:val="both"/>
        <w:rPr/>
      </w:pPr>
      <w:r>
        <w:rPr>
          <w:rtl w:val="0"/>
        </w:rPr>
        <w:t xml:space="preserve">Agriculture: An observed pattern suggestive of cautious implication, though outlier-dependent. As noted in Part II, the Agriculture–Biology density contrast is sensitive to Acs2 and is better treated as marginal than as a stable ranking. Within that caveat, the near balance of modal verbs and lexical hedges in this subset, and the clustering of tokens such as potential and suggests in conclusion sentences, point to hedging of practical implications rather than of measured results. That reading fits Salager-Meyer’s (1994) distributed claim responsibility: the finding is stated with certainty; the application is softened. It may also reflect the practical orientation of agricultural research in this corpus.</w:t>
      </w:r>
    </w:p>
    <w:p w:rsidR="00000000" w:rsidDel="00000000" w:rsidP="00000000" w:rsidRDefault="00000000" w:rsidRPr="00000000" w14:paraId="00000162">
      <w:pPr>
        <w:spacing w:before="0" w:after="0" w:line="480" w:lineRule="auto"/>
        <w:ind w:firstLine="720"/>
        <w:jc w:val="both"/>
        <w:rPr/>
      </w:pPr>
      <w:r>
        <w:rPr>
          <w:rFonts w:ascii="Georgia" w:cs="Georgia" w:eastAsia="Georgia" w:hAnsi="Georgia"/>
          <w:b w:val="0"/>
          <w:bCs w:val="0"/>
          <w:i w:val="0"/>
          <w:iCs w:val="0"/>
          <w:sz w:val="22"/>
          <w:szCs w:val="22"/>
          <w:rtl w:val="0"/>
        </w:rPr>
        <w:t xml:space="preserve">Biology: A pattern suggestive of lexical caution with topic-naming. Biology’s density sits close to Agriculture’s overall rate (Part II), but its hedges are predominantly lexical, with potential often appearing in aim statements as topic-naming rather than as a hedge on a claim (see also the false-positive discussion in Part II). When potential is retained as a hedge, it usually softens an implication. The profile is less about sparse reporting than about a narrow set of lexical forms doing most of the work.</w:t>
      </w:r>
      <w:r>
        <w:rPr>
          <w:rtl w:val="0"/>
        </w:rPr>
      </w:r>
    </w:p>
    <w:p w:rsidR="00000000" w:rsidDel="00000000" w:rsidP="00000000" w:rsidRDefault="00000000" w:rsidRPr="00000000" w14:paraId="00000163">
      <w:pPr>
        <w:spacing w:before="0" w:after="0" w:line="480" w:lineRule="auto"/>
        <w:ind w:firstLine="720"/>
        <w:jc w:val="both"/>
        <w:rPr/>
      </w:pPr>
      <w:r>
        <w:rPr>
          <w:rFonts w:ascii="Georgia" w:cs="Georgia" w:eastAsia="Georgia" w:hAnsi="Georgia"/>
          <w:b w:val="0"/>
          <w:bCs w:val="0"/>
          <w:i w:val="0"/>
          <w:iCs w:val="0"/>
          <w:sz w:val="22"/>
          <w:szCs w:val="22"/>
          <w:rtl w:val="0"/>
        </w:rPr>
        <w:t xml:space="preserve">Veterinary Medicine: A pattern suggestive of assertive reporting. Part II already shows VM’s low density and high zero-hedge share. In this subset, factive verbs (showed, revealed, demonstrated, confirmed) often carry results without qualification. Several abstracts report diagnostic or presence/absence outcomes, where a binary finding can reasonably be stated as fact. The same categorical tone often extends to implications. The contrast with Agriculture and Biology is the clearest disciplinary difference in the corpus, though whether it reflects field norms, adviser expectations, or outcome type remains open.</w:t>
      </w:r>
      <w:r>
        <w:rPr>
          <w:rtl w:val="0"/>
        </w:rPr>
      </w:r>
    </w:p>
    <w:p w:rsidR="00000000" w:rsidDel="00000000" w:rsidP="00000000" w:rsidRDefault="00000000" w:rsidRPr="00000000" w14:paraId="00000164">
      <w:pPr>
        <w:spacing w:before="0" w:after="0" w:line="480" w:lineRule="auto"/>
        <w:ind w:firstLine="720"/>
        <w:jc w:val="both"/>
        <w:rPr/>
      </w:pPr>
      <w:r>
        <w:rPr>
          <w:rFonts w:ascii="Georgia" w:cs="Georgia" w:eastAsia="Georgia" w:hAnsi="Georgia"/>
          <w:b w:val="0"/>
          <w:bCs w:val="0"/>
          <w:i w:val="0"/>
          <w:iCs w:val="0"/>
          <w:sz w:val="22"/>
          <w:szCs w:val="22"/>
          <w:rtl w:val="0"/>
        </w:rPr>
        <w:t xml:space="preserve">Across the three disciplines, Veterinary Medicine’s sparse, assertive profile is the most robust contrast in this corpus. The Agriculture–Biology difference is marginal and partly outlier-driven. Whether these patterns reflect internalized field norms or local supervisory practice cannot be settled from the texts alone.</w:t>
      </w:r>
      <w:r>
        <w:rPr>
          <w:rtl w:val="0"/>
        </w:rPr>
      </w:r>
    </w:p>
    <w:p w:rsidR="00000000" w:rsidDel="00000000" w:rsidP="00000000" w:rsidRDefault="00000000" w:rsidRPr="00000000" w14:paraId="00000165">
      <w:pPr>
        <w:spacing w:before="0" w:after="0" w:line="480" w:lineRule="auto"/>
        <w:ind w:firstLine="720"/>
        <w:jc w:val="both"/>
        <w:rPr/>
      </w:pPr>
      <w:r>
        <w:rPr>
          <w:rFonts w:ascii="Georgia" w:cs="Georgia" w:eastAsia="Georgia" w:hAnsi="Georgia"/>
          <w:b w:val="0"/>
          <w:bCs w:val="0"/>
          <w:i w:val="0"/>
          <w:iCs w:val="0"/>
          <w:sz w:val="22"/>
          <w:szCs w:val="22"/>
          <w:rtl w:val="0"/>
        </w:rPr>
        <w:t xml:space="preserve">As noted in Part III, an informal reading of the tokens suggests hedges cluster in implication and conclusion sentences more than in direct results reporting. That pattern is strongest in Agriculture and weakest in Veterinary Medicine. A formal move analysis would be needed to quantify it.</w:t>
      </w:r>
      <w:r>
        <w:rPr>
          <w:rtl w:val="0"/>
        </w:rPr>
      </w:r>
    </w:p>
    <w:p w:rsidR="00000000" w:rsidDel="00000000" w:rsidP="00000000" w:rsidRDefault="00000000" w:rsidRPr="00000000" w14:paraId="00000166">
      <w:pPr>
        <w:spacing w:before="0" w:after="0" w:line="480" w:lineRule="auto"/>
        <w:ind w:firstLine="720"/>
        <w:jc w:val="both"/>
        <w:rPr/>
      </w:pPr>
      <w:r>
        <w:rPr>
          <w:rFonts w:ascii="Georgia" w:cs="Georgia" w:eastAsia="Georgia" w:hAnsi="Georgia"/>
          <w:b w:val="0"/>
          <w:bCs w:val="0"/>
          <w:i w:val="0"/>
          <w:iCs w:val="0"/>
          <w:sz w:val="22"/>
          <w:szCs w:val="22"/>
          <w:rtl w:val="0"/>
        </w:rPr>
        <w:t xml:space="preserve">However, the study cannot determine whether these disciplinary patterns reflect genuine epistemic norms internalized by developing researchers or simply the conventions enforced by faculty advisers during thesis supervision. As noted in the scope and limitations, undergraduate theses are heavily supervised, and observed patterns reflect departmental standards as much as individual writer choices. The findings are descriptive of the textual artifacts produced at PSAU, not of the cognitive processes of individual writers.</w:t>
      </w:r>
      <w:r>
        <w:rPr>
          <w:rtl w:val="0"/>
        </w:rPr>
      </w:r>
    </w:p>
    <w:p w:rsidR="00000000" w:rsidDel="00000000" w:rsidP="00000000" w:rsidRDefault="00000000" w:rsidRPr="00000000" w14:paraId="00000167">
      <w:pPr>
        <w:spacing w:before="0" w:after="0" w:line="480" w:lineRule="auto"/>
        <w:ind w:firstLine="720"/>
        <w:jc w:val="both"/>
        <w:rPr/>
      </w:pPr>
      <w:r>
        <w:rPr>
          <w:rtl w:val="0"/>
        </w:rPr>
        <w:t xml:space="preserve">Three observations support a descriptive label of pro forma hedging, not a confirmed construct: (1) potential accounts for a large share of lexical hedges and recurs in near-identical frames (Part I); (2) all retained hedges serve a single function (Part III); (3) nearly half of abstracts contain no hedges at all (Part II). When hedging appears, it often looks like a learned lexical shell rather than calibrated stance. The label aligns with Demir’s (2018) account of L2 underuse and Petchkij’s (2019) observation that instruction can raise frequency without fully expanding functional range. It remains a hypothesis for replication with inter-rater coding and expert-abstract comparison.</w:t>
      </w:r>
    </w:p>
    <w:p w:rsidR="00000000" w:rsidDel="00000000" w:rsidP="00000000" w:rsidRDefault="00000000" w:rsidRPr="00000000" w14:paraId="0000016E">
      <w:pPr>
        <w:keepLines w:val="1"/>
        <w:pageBreakBefore w:val="1"/>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 xml:space="preserve">Lexical hedges outnumber modal verbs in this corpus, largely because of formulaic potential. Density is highest in Agriculture, then Biology, then Veterinary Medicine, with nearly half of abstracts containing no coded hedges. Every retained hedge was coded as Epistemic Caution.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ungsuh" w:cs="Gungsuh" w:eastAsia="Gungsuh" w:hAnsi="Gungsuh"/>
          <w:b w:val="0"/>
          <w:bCs w:val="0"/>
          <w:i w:val="0"/>
          <w:iCs w:val="0"/>
          <w:sz w:val="22"/>
          <w:szCs w:val="22"/>
          <w:rtl w:val="0"/>
        </w:rPr>
        <w:t xml:space="preserve">Disciplinary differentiation is present but uneven. Veterinary Medicine’s sparse, assertive profile is the clearest contrast. Agriculture’s edge over Biology is modest and outlier-sensitive. The patterns are consistent with field-specific epistemic demands (Salager-Meyer, 1994) among developing writers, but statistical evidence is borderline (Kruskal-Wallis p ≈ .052) and the sample is small. The study provides a local baseline, not a general law.</w:t>
      </w:r>
      <w:r>
        <w:rPr>
          <w:rtl w:val="0"/>
        </w:rPr>
      </w:r>
    </w:p>
    <w:p w:rsidR="00000000" w:rsidDel="00000000" w:rsidP="00000000" w:rsidRDefault="00000000" w:rsidRPr="00000000" w14:paraId="00000178">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 xml:space="preserve">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Instruction should also distinguish topic-naming potential in aim statements from epistemic potential in conclusions, without treating hedging as a quota to fill.</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whether the disciplinary patterns observed in this study persist across multiple institutions and </w:t>
      </w:r>
      <w:r>
        <w:rPr>
          <w:rtl w:val="0"/>
        </w:rPr>
        <w:t xml:space="preserve">groups</w:t>
      </w:r>
      <w:r>
        <w:rPr>
          <w:rFonts w:ascii="Georgia" w:cs="Georgia" w:eastAsia="Georgia" w:hAnsi="Georgia"/>
          <w:b w:val="0"/>
          <w:bCs w:val="0"/>
          <w:i w:val="0"/>
          <w:iCs w:val="0"/>
          <w:sz w:val="22"/>
          <w:szCs w:val="22"/>
          <w:rtl w:val="0"/>
        </w:rPr>
        <w:t xml:space="preserve">. A multi-institutional comparison involving other Philippine state universities would help determine whether the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If VM advisers explicitly discourage hedging in abstracts, this would support the binary-outcome interpretation. If VM advisers do not address hedging at all, this would support the awareness-deficit interpretation.</w:t>
      </w:r>
      <w:r>
        <w:rPr>
          <w:rtl w:val="0"/>
        </w:rPr>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should examine boosters (e.g., clearly, demonstrated, confirmed) alongside hedges to provide a fuller picture of epistemic stance, since some abstracts in this corpus contain zero hedges but still make assertive claims that may involve booster language.</w:t>
      </w:r>
      <w:r>
        <w:rPr>
          <w:rtl w:val="0"/>
        </w:rPr>
      </w:r>
    </w:p>
    <w:p w:rsidR="00000000" w:rsidDel="00000000" w:rsidP="00000000" w:rsidRDefault="00000000" w:rsidRPr="00000000" w14:paraId="00000182">
      <w:pPr>
        <w:keepLines w:val="1"/>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left"/>
        <w:rPr/>
      </w:pPr>
      <w:r>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w:t>
      </w:r>
      <w:r>
        <w:rPr>
          <w:rFonts w:ascii="Georgia" w:cs="Georgia" w:eastAsia="Georgia" w:hAnsi="Georgia"/>
          <w:b w:val="0"/>
          <w:bCs w:val="0"/>
          <w:i w:val="1"/>
          <w:iCs w:val="1"/>
          <w:sz w:val="22"/>
          <w:szCs w:val="22"/>
          <w:rtl w:val="0"/>
        </w:rPr>
        <w:t xml:space="preserve">Procedia – Social and Behavioral Sciences, 136</w:t>
      </w:r>
      <w:r>
        <w:rPr>
          <w:rFonts w:ascii="Georgia" w:cs="Georgia" w:eastAsia="Georgia" w:hAnsi="Georgia"/>
          <w:b w:val="0"/>
          <w:bCs w:val="0"/>
          <w:i w:val="0"/>
          <w:iCs w:val="0"/>
          <w:sz w:val="22"/>
          <w:szCs w:val="22"/>
          <w:rtl w:val="0"/>
        </w:rPr>
        <w:t xml:space="preserve">, 70–74. https://doi.org/10.1016/j.sbspro.2014.05.290</w:t>
      </w:r>
      <w:r>
        <w:rPr>
          <w:rtl w:val="0"/>
        </w:rPr>
      </w:r>
    </w:p>
    <w:p w:rsidR="00000000" w:rsidDel="00000000" w:rsidP="00000000" w:rsidRDefault="00000000" w:rsidRPr="00000000" w14:paraId="00000187">
      <w:pPr>
        <w:spacing w:before="0" w:after="0" w:line="480" w:lineRule="auto"/>
        <w:ind w:left="720" w:hanging="720"/>
        <w:jc w:val="left"/>
        <w:rPr/>
      </w:pPr>
      <w:r>
        <w:rPr>
          <w:rFonts w:ascii="Georgia" w:cs="Georgia" w:eastAsia="Georgia" w:hAnsi="Georgia"/>
          <w:b w:val="0"/>
          <w:bCs w:val="0"/>
          <w:i w:val="0"/>
          <w:iCs w:val="0"/>
          <w:sz w:val="22"/>
          <w:szCs w:val="22"/>
          <w:rtl w:val="0"/>
        </w:rPr>
        <w:t xml:space="preserve">Biber, D., Conrad, S., &amp; Reppen, R. (1998). </w:t>
      </w:r>
      <w:r>
        <w:rPr>
          <w:rFonts w:ascii="Georgia" w:cs="Georgia" w:eastAsia="Georgia" w:hAnsi="Georgia"/>
          <w:b w:val="0"/>
          <w:bCs w:val="0"/>
          <w:i w:val="1"/>
          <w:iCs w:val="1"/>
          <w:sz w:val="22"/>
          <w:szCs w:val="22"/>
          <w:rtl w:val="0"/>
        </w:rPr>
        <w:t xml:space="preserve">Corpus linguistics: Investigating language structure and use</w:t>
      </w:r>
      <w:r>
        <w:rPr>
          <w:rFonts w:ascii="Georgia" w:cs="Georgia" w:eastAsia="Georgia" w:hAnsi="Georgia"/>
          <w:b w:val="0"/>
          <w:bCs w:val="0"/>
          <w:i w:val="0"/>
          <w:iCs w:val="0"/>
          <w:sz w:val="22"/>
          <w:szCs w:val="22"/>
          <w:rtl w:val="0"/>
        </w:rPr>
        <w:t xml:space="preserve">. Cambridge University Press.</w:t>
      </w:r>
      <w:r>
        <w:rPr>
          <w:rtl w:val="0"/>
        </w:rPr>
      </w:r>
    </w:p>
    <w:p w:rsidR="00000000" w:rsidDel="00000000" w:rsidP="00000000" w:rsidRDefault="00000000" w:rsidRPr="00000000" w14:paraId="00000188">
      <w:pPr>
        <w:spacing w:before="0" w:after="0" w:line="480" w:lineRule="auto"/>
        <w:ind w:left="720" w:hanging="720"/>
        <w:jc w:val="left"/>
        <w:rPr/>
      </w:pPr>
      <w:r>
        <w:rPr>
          <w:rFonts w:ascii="Georgia" w:cs="Georgia" w:eastAsia="Georgia" w:hAnsi="Georgia"/>
          <w:b w:val="0"/>
          <w:bCs w:val="0"/>
          <w:i w:val="0"/>
          <w:iCs w:val="0"/>
          <w:sz w:val="22"/>
          <w:szCs w:val="22"/>
          <w:rtl w:val="0"/>
        </w:rPr>
        <w:t xml:space="preserve">Demir, C. (2018). Hedging and academic writing: An analysis of lexical hedges. </w:t>
      </w:r>
      <w:r>
        <w:rPr>
          <w:rFonts w:ascii="Georgia" w:cs="Georgia" w:eastAsia="Georgia" w:hAnsi="Georgia"/>
          <w:b w:val="0"/>
          <w:bCs w:val="0"/>
          <w:i w:val="1"/>
          <w:iCs w:val="1"/>
          <w:sz w:val="22"/>
          <w:szCs w:val="22"/>
          <w:rtl w:val="0"/>
        </w:rPr>
        <w:t xml:space="preserve">Journal of Language and Linguistic Studies, 14</w:t>
      </w:r>
      <w:r>
        <w:rPr>
          <w:rFonts w:ascii="Georgia" w:cs="Georgia" w:eastAsia="Georgia" w:hAnsi="Georgia"/>
          <w:b w:val="0"/>
          <w:bCs w:val="0"/>
          <w:i w:val="0"/>
          <w:iCs w:val="0"/>
          <w:sz w:val="22"/>
          <w:szCs w:val="22"/>
          <w:rtl w:val="0"/>
        </w:rPr>
        <w:t xml:space="preserve">(4), 74–92. https://files.eric.ed.gov/fulltext/EJ1201945.pdf</w:t>
      </w:r>
      <w:r>
        <w:rPr>
          <w:rtl w:val="0"/>
        </w:rPr>
      </w:r>
    </w:p>
    <w:p w:rsidR="00000000" w:rsidDel="00000000" w:rsidP="00000000" w:rsidRDefault="00000000" w:rsidRPr="00000000" w14:paraId="00000189">
      <w:pPr>
        <w:spacing w:before="0" w:after="0" w:line="480" w:lineRule="auto"/>
        <w:ind w:left="720" w:hanging="720"/>
        <w:jc w:val="left"/>
        <w:rPr/>
      </w:pPr>
      <w:r>
        <w:rPr>
          <w:rFonts w:ascii="Georgia" w:cs="Georgia" w:eastAsia="Georgia" w:hAnsi="Georgia"/>
          <w:b w:val="0"/>
          <w:bCs w:val="0"/>
          <w:i w:val="0"/>
          <w:iCs w:val="0"/>
          <w:sz w:val="22"/>
          <w:szCs w:val="22"/>
          <w:rtl w:val="0"/>
        </w:rPr>
        <w:t xml:space="preserve">Escalona, S. L. (2025). Hedges and boosters in college essays: A study of linguistic modulation in student writing. </w:t>
      </w:r>
      <w:r>
        <w:rPr>
          <w:rFonts w:ascii="Georgia" w:cs="Georgia" w:eastAsia="Georgia" w:hAnsi="Georgia"/>
          <w:b w:val="0"/>
          <w:bCs w:val="0"/>
          <w:i w:val="1"/>
          <w:iCs w:val="1"/>
          <w:sz w:val="22"/>
          <w:szCs w:val="22"/>
          <w:rtl w:val="0"/>
        </w:rPr>
        <w:t xml:space="preserve">International Journal of English Literature and Social Sciences, 10</w:t>
      </w:r>
      <w:r>
        <w:rPr>
          <w:rFonts w:ascii="Georgia" w:cs="Georgia" w:eastAsia="Georgia" w:hAnsi="Georgia"/>
          <w:b w:val="0"/>
          <w:bCs w:val="0"/>
          <w:i w:val="0"/>
          <w:iCs w:val="0"/>
          <w:sz w:val="22"/>
          <w:szCs w:val="22"/>
          <w:rtl w:val="0"/>
        </w:rPr>
        <w:t xml:space="preserve">(1), 7–17. https://doi.org/10.22161/ijels.101.2</w:t>
      </w:r>
      <w:r>
        <w:rPr>
          <w:rtl w:val="0"/>
        </w:rPr>
      </w:r>
    </w:p>
    <w:p w:rsidR="00000000" w:rsidDel="00000000" w:rsidP="00000000" w:rsidRDefault="00000000" w:rsidRPr="00000000" w14:paraId="0000018A">
      <w:pPr>
        <w:spacing w:before="0" w:after="0" w:line="480" w:lineRule="auto"/>
        <w:ind w:left="720" w:hanging="720"/>
        <w:jc w:val="left"/>
        <w:rPr/>
      </w:pPr>
      <w:r>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Pr>
          <w:rFonts w:ascii="Georgia" w:cs="Georgia" w:eastAsia="Georgia" w:hAnsi="Georgia"/>
          <w:b w:val="0"/>
          <w:bCs w:val="0"/>
          <w:i w:val="1"/>
          <w:iCs w:val="1"/>
          <w:sz w:val="22"/>
          <w:szCs w:val="22"/>
          <w:rtl w:val="0"/>
        </w:rPr>
        <w:t xml:space="preserve">Medical Journal of the Islamic Republic of Iran, 39</w:t>
      </w:r>
      <w:r>
        <w:rPr>
          <w:rFonts w:ascii="Georgia" w:cs="Georgia" w:eastAsia="Georgia" w:hAnsi="Georgia"/>
          <w:b w:val="0"/>
          <w:bCs w:val="0"/>
          <w:i w:val="0"/>
          <w:iCs w:val="0"/>
          <w:sz w:val="22"/>
          <w:szCs w:val="22"/>
          <w:rtl w:val="0"/>
        </w:rPr>
        <w:t xml:space="preserve">, 125. https://pmc.ncbi.nlm.nih.gov/articles/PMC12584097/</w:t>
      </w:r>
      <w:r>
        <w:rPr>
          <w:rtl w:val="0"/>
        </w:rPr>
      </w:r>
    </w:p>
    <w:p w:rsidR="00000000" w:rsidDel="00000000" w:rsidP="00000000" w:rsidRDefault="00000000" w:rsidRPr="00000000" w14:paraId="0000018B">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(1998). </w:t>
      </w:r>
      <w:r>
        <w:rPr>
          <w:rFonts w:ascii="Georgia" w:cs="Georgia" w:eastAsia="Georgia" w:hAnsi="Georgia"/>
          <w:b w:val="0"/>
          <w:bCs w:val="0"/>
          <w:i w:val="1"/>
          <w:iCs w:val="1"/>
          <w:sz w:val="22"/>
          <w:szCs w:val="22"/>
          <w:rtl w:val="0"/>
        </w:rPr>
        <w:t xml:space="preserve">Hedging in scientific research articles</w:t>
      </w:r>
      <w:r>
        <w:rPr>
          <w:rFonts w:ascii="Georgia" w:cs="Georgia" w:eastAsia="Georgia" w:hAnsi="Georgia"/>
          <w:b w:val="0"/>
          <w:bCs w:val="0"/>
          <w:i w:val="0"/>
          <w:iCs w:val="0"/>
          <w:sz w:val="22"/>
          <w:szCs w:val="22"/>
          <w:rtl w:val="0"/>
        </w:rPr>
        <w:t xml:space="preserve">. John Benjamins Publishing.</w:t>
      </w:r>
      <w:r>
        <w:rPr>
          <w:rtl w:val="0"/>
        </w:rPr>
      </w:r>
    </w:p>
    <w:p w:rsidR="00000000" w:rsidDel="00000000" w:rsidP="00000000" w:rsidRDefault="00000000" w:rsidRPr="00000000" w14:paraId="0000018C">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(2005). Stance and engagement: A model of interaction in academic discourse. </w:t>
      </w:r>
      <w:r>
        <w:rPr>
          <w:rFonts w:ascii="Georgia" w:cs="Georgia" w:eastAsia="Georgia" w:hAnsi="Georgia"/>
          <w:b w:val="0"/>
          <w:bCs w:val="0"/>
          <w:i w:val="1"/>
          <w:iCs w:val="1"/>
          <w:sz w:val="22"/>
          <w:szCs w:val="22"/>
          <w:rtl w:val="0"/>
        </w:rPr>
        <w:t xml:space="preserve">Discourse Studies, 7</w:t>
      </w:r>
      <w:r>
        <w:rPr>
          <w:rFonts w:ascii="Georgia" w:cs="Georgia" w:eastAsia="Georgia" w:hAnsi="Georgia"/>
          <w:b w:val="0"/>
          <w:bCs w:val="0"/>
          <w:i w:val="0"/>
          <w:iCs w:val="0"/>
          <w:sz w:val="22"/>
          <w:szCs w:val="22"/>
          <w:rtl w:val="0"/>
        </w:rPr>
        <w:t xml:space="preserve">(2), 173–192. https://doi.org/10.1177/1461445605050365</w:t>
      </w:r>
      <w:r>
        <w:rPr>
          <w:rtl w:val="0"/>
        </w:rPr>
      </w:r>
    </w:p>
    <w:p w:rsidR="00000000" w:rsidDel="00000000" w:rsidP="00000000" w:rsidRDefault="00000000" w:rsidRPr="00000000" w14:paraId="0000018D">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&amp; Milton, J. (1997). Qualification and certainty in L1 and L2 students’ writing. </w:t>
      </w:r>
      <w:r>
        <w:rPr>
          <w:rFonts w:ascii="Georgia" w:cs="Georgia" w:eastAsia="Georgia" w:hAnsi="Georgia"/>
          <w:b w:val="0"/>
          <w:bCs w:val="0"/>
          <w:i w:val="1"/>
          <w:iCs w:val="1"/>
          <w:sz w:val="22"/>
          <w:szCs w:val="22"/>
          <w:rtl w:val="0"/>
        </w:rPr>
        <w:t xml:space="preserve">Journal of Second Language Writing, 6</w:t>
      </w:r>
      <w:r>
        <w:rPr>
          <w:rFonts w:ascii="Georgia" w:cs="Georgia" w:eastAsia="Georgia" w:hAnsi="Georgia"/>
          <w:b w:val="0"/>
          <w:bCs w:val="0"/>
          <w:i w:val="0"/>
          <w:iCs w:val="0"/>
          <w:sz w:val="22"/>
          <w:szCs w:val="22"/>
          <w:rtl w:val="0"/>
        </w:rPr>
        <w:t xml:space="preserve">(2), 183–205. https://doi.org/10.1016/S1060-3743(97)90033-3</w:t>
      </w:r>
      <w:r>
        <w:rPr>
          <w:rtl w:val="0"/>
        </w:rPr>
      </w:r>
    </w:p>
    <w:p w:rsidR="00000000" w:rsidDel="00000000" w:rsidP="00000000" w:rsidRDefault="00000000" w:rsidRPr="00000000" w14:paraId="0000018E">
      <w:pPr>
        <w:spacing w:before="0" w:after="0" w:line="480" w:lineRule="auto"/>
        <w:ind w:left="720" w:hanging="720"/>
        <w:jc w:val="left"/>
        <w:rPr/>
      </w:pPr>
      <w:r>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w:t>
      </w:r>
      <w:r>
        <w:rPr>
          <w:rFonts w:ascii="Georgia" w:cs="Georgia" w:eastAsia="Georgia" w:hAnsi="Georgia"/>
          <w:b w:val="0"/>
          <w:bCs w:val="0"/>
          <w:i w:val="1"/>
          <w:iCs w:val="1"/>
          <w:sz w:val="22"/>
          <w:szCs w:val="22"/>
          <w:rtl w:val="0"/>
        </w:rPr>
        <w:t xml:space="preserve">Linguistics and Literature Studies, 12</w:t>
      </w:r>
      <w:r>
        <w:rPr>
          <w:rFonts w:ascii="Georgia" w:cs="Georgia" w:eastAsia="Georgia" w:hAnsi="Georgia"/>
          <w:b w:val="0"/>
          <w:bCs w:val="0"/>
          <w:i w:val="0"/>
          <w:iCs w:val="0"/>
          <w:sz w:val="22"/>
          <w:szCs w:val="22"/>
          <w:rtl w:val="0"/>
        </w:rPr>
        <w:t xml:space="preserve">(3), 19–28. https://doi.org/10.13189/lls.2024.120301</w:t>
      </w:r>
      <w:r>
        <w:rPr>
          <w:rtl w:val="0"/>
        </w:rPr>
      </w:r>
    </w:p>
    <w:p w:rsidR="00000000" w:rsidDel="00000000" w:rsidP="00000000" w:rsidRDefault="00000000" w:rsidRPr="00000000" w14:paraId="0000018F">
      <w:pPr>
        <w:spacing w:before="0" w:after="0" w:line="480" w:lineRule="auto"/>
        <w:ind w:left="720" w:hanging="720"/>
        <w:jc w:val="left"/>
        <w:rPr/>
      </w:pPr>
      <w:r>
        <w:rPr>
          <w:rFonts w:ascii="Georgia" w:cs="Georgia" w:eastAsia="Georgia" w:hAnsi="Georgia"/>
          <w:b w:val="0"/>
          <w:bCs w:val="0"/>
          <w:i w:val="0"/>
          <w:iCs w:val="0"/>
          <w:sz w:val="22"/>
          <w:szCs w:val="22"/>
          <w:rtl w:val="0"/>
        </w:rPr>
        <w:t xml:space="preserve">Khunasathitchai, K., Sittironnarit, S., Sinturat, T., &amp; Kumdee, S. (2025). Move analysis and hedge use in the research paper abstracts of Thai EFL English-majored undergraduates. </w:t>
      </w:r>
      <w:r>
        <w:rPr>
          <w:rFonts w:ascii="Georgia" w:cs="Georgia" w:eastAsia="Georgia" w:hAnsi="Georgia"/>
          <w:b w:val="0"/>
          <w:bCs w:val="0"/>
          <w:i w:val="1"/>
          <w:iCs w:val="1"/>
          <w:sz w:val="22"/>
          <w:szCs w:val="22"/>
          <w:rtl w:val="0"/>
        </w:rPr>
        <w:t xml:space="preserve">rEFLections, 32</w:t>
      </w:r>
      <w:r>
        <w:rPr>
          <w:rFonts w:ascii="Georgia" w:cs="Georgia" w:eastAsia="Georgia" w:hAnsi="Georgia"/>
          <w:b w:val="0"/>
          <w:bCs w:val="0"/>
          <w:i w:val="0"/>
          <w:iCs w:val="0"/>
          <w:sz w:val="22"/>
          <w:szCs w:val="22"/>
          <w:rtl w:val="0"/>
        </w:rPr>
        <w:t xml:space="preserve">(2), 951–970.</w:t>
      </w:r>
      <w:r>
        <w:rPr>
          <w:rtl w:val="0"/>
        </w:rPr>
      </w:r>
    </w:p>
    <w:p w:rsidR="00000000" w:rsidDel="00000000" w:rsidP="00000000" w:rsidRDefault="00000000" w:rsidRPr="00000000" w14:paraId="00000190">
      <w:pPr>
        <w:spacing w:before="0" w:after="0" w:line="480" w:lineRule="auto"/>
        <w:ind w:left="720" w:hanging="720"/>
        <w:jc w:val="left"/>
        <w:rPr/>
      </w:pPr>
      <w:r>
        <w:rPr>
          <w:rFonts w:ascii="Georgia" w:cs="Georgia" w:eastAsia="Georgia" w:hAnsi="Georgia"/>
          <w:b w:val="0"/>
          <w:bCs w:val="0"/>
          <w:i w:val="0"/>
          <w:iCs w:val="0"/>
          <w:sz w:val="22"/>
          <w:szCs w:val="22"/>
          <w:rtl w:val="0"/>
        </w:rPr>
        <w:t xml:space="preserve">https://doi.org/10.47772/IJRISS.2025.91100485</w:t>
      </w:r>
      <w:r>
        <w:rPr>
          <w:rtl w:val="0"/>
        </w:rPr>
      </w:r>
    </w:p>
    <w:p w:rsidR="00000000" w:rsidDel="00000000" w:rsidP="00000000" w:rsidRDefault="00000000" w:rsidRPr="00000000" w14:paraId="00000192">
      <w:pPr>
        <w:spacing w:before="0" w:after="0" w:line="480" w:lineRule="auto"/>
        <w:ind w:left="720" w:hanging="720"/>
        <w:jc w:val="left"/>
        <w:rPr/>
      </w:pPr>
      <w:r>
        <w:rPr>
          <w:rFonts w:ascii="Georgia" w:cs="Georgia" w:eastAsia="Georgia" w:hAnsi="Georgia"/>
          <w:b w:val="0"/>
          <w:bCs w:val="0"/>
          <w:i w:val="0"/>
          <w:iCs w:val="0"/>
          <w:sz w:val="22"/>
          <w:szCs w:val="22"/>
          <w:rtl w:val="0"/>
        </w:rPr>
        <w:t xml:space="preserve">Landis, J. R., &amp; Koch, G. G. (1977). The measurement of observer agreement for categorical data. Biometrics, 33(1), 159–174. https://doi.org/10.2307/2529310</w:t>
      </w:r>
      <w:r>
        <w:rPr>
          <w:rtl w:val="0"/>
        </w:rPr>
      </w:r>
    </w:p>
    <w:p w:rsidR="00000000" w:rsidDel="00000000" w:rsidP="00000000" w:rsidRDefault="00000000" w:rsidRPr="00000000" w14:paraId="00000193">
      <w:pPr>
        <w:spacing w:before="0" w:after="0" w:line="480" w:lineRule="auto"/>
        <w:ind w:left="720" w:hanging="720"/>
        <w:jc w:val="left"/>
        <w:rPr/>
      </w:pPr>
      <w:r>
        <w:rPr>
          <w:rFonts w:ascii="Georgia" w:cs="Georgia" w:eastAsia="Georgia" w:hAnsi="Georgia"/>
          <w:b w:val="0"/>
          <w:bCs w:val="0"/>
          <w:i w:val="0"/>
          <w:iCs w:val="0"/>
          <w:sz w:val="22"/>
          <w:szCs w:val="22"/>
          <w:rtl w:val="0"/>
        </w:rPr>
        <w:t xml:space="preserve">Mohammed, S. J. (2011). </w:t>
      </w:r>
      <w:r>
        <w:rPr>
          <w:rFonts w:ascii="Georgia" w:cs="Georgia" w:eastAsia="Georgia" w:hAnsi="Georgia"/>
          <w:b w:val="0"/>
          <w:bCs w:val="0"/>
          <w:i w:val="1"/>
          <w:iCs w:val="1"/>
          <w:sz w:val="22"/>
          <w:szCs w:val="22"/>
          <w:rtl w:val="0"/>
        </w:rPr>
        <w:t xml:space="preserve">Lexical hedges: A study of cultural and disciplinary variation in academic research articles</w:t>
      </w:r>
      <w:r>
        <w:rPr>
          <w:rFonts w:ascii="Georgia" w:cs="Georgia" w:eastAsia="Georgia" w:hAnsi="Georgia"/>
          <w:b w:val="0"/>
          <w:bCs w:val="0"/>
          <w:i w:val="0"/>
          <w:iCs w:val="0"/>
          <w:sz w:val="22"/>
          <w:szCs w:val="22"/>
          <w:rtl w:val="0"/>
        </w:rPr>
        <w:t xml:space="preserve"> [Master’s thesis, Universiti Teknologi MARA]. CORE. https://core.ac.uk/download/78277430.pdf</w:t>
      </w:r>
      <w:r>
        <w:rPr>
          <w:rtl w:val="0"/>
        </w:rPr>
      </w:r>
    </w:p>
    <w:p w:rsidR="00000000" w:rsidDel="00000000" w:rsidP="00000000" w:rsidRDefault="00000000" w:rsidRPr="00000000" w14:paraId="00000194">
      <w:pPr>
        <w:spacing w:before="0" w:after="0" w:line="480" w:lineRule="auto"/>
        <w:ind w:left="720" w:hanging="720"/>
        <w:jc w:val="left"/>
        <w:rPr/>
      </w:pPr>
      <w:r>
        <w:rPr>
          <w:rFonts w:ascii="Georgia" w:cs="Georgia" w:eastAsia="Georgia" w:hAnsi="Georgia"/>
          <w:b w:val="0"/>
          <w:bCs w:val="0"/>
          <w:i w:val="0"/>
          <w:iCs w:val="0"/>
          <w:sz w:val="22"/>
          <w:szCs w:val="22"/>
          <w:rtl w:val="0"/>
        </w:rPr>
        <w:t xml:space="preserve">Ningrum, S., Puspita, H., &amp; Mulyadi, A. I. (2024). Hedges and boosters in academic writing of ASEAN EFL learners. </w:t>
      </w:r>
      <w:r>
        <w:rPr>
          <w:rFonts w:ascii="Georgia" w:cs="Georgia" w:eastAsia="Georgia" w:hAnsi="Georgia"/>
          <w:b w:val="0"/>
          <w:bCs w:val="0"/>
          <w:i w:val="1"/>
          <w:iCs w:val="1"/>
          <w:sz w:val="22"/>
          <w:szCs w:val="22"/>
          <w:rtl w:val="0"/>
        </w:rPr>
        <w:t xml:space="preserve">Journal of English Education and Teaching, 8</w:t>
      </w:r>
      <w:r>
        <w:rPr>
          <w:rFonts w:ascii="Georgia" w:cs="Georgia" w:eastAsia="Georgia" w:hAnsi="Georgia"/>
          <w:b w:val="0"/>
          <w:bCs w:val="0"/>
          <w:i w:val="0"/>
          <w:iCs w:val="0"/>
          <w:sz w:val="22"/>
          <w:szCs w:val="22"/>
          <w:rtl w:val="0"/>
        </w:rPr>
        <w:t xml:space="preserve">(1), 202–218. https://doi.org/10.33369/jeet.8.1.202-218</w:t>
      </w:r>
      <w:r>
        <w:rPr>
          <w:rtl w:val="0"/>
        </w:rPr>
      </w:r>
    </w:p>
    <w:p w:rsidR="00000000" w:rsidDel="00000000" w:rsidP="00000000" w:rsidRDefault="00000000" w:rsidRPr="00000000" w14:paraId="00000195">
      <w:pPr>
        <w:spacing w:before="0" w:after="0" w:line="480" w:lineRule="auto"/>
        <w:ind w:left="720" w:hanging="720"/>
        <w:jc w:val="left"/>
        <w:rPr/>
      </w:pPr>
      <w:r>
        <w:rPr>
          <w:rFonts w:ascii="Georgia" w:cs="Georgia" w:eastAsia="Georgia" w:hAnsi="Georgia"/>
          <w:b w:val="0"/>
          <w:bCs w:val="0"/>
          <w:i w:val="0"/>
          <w:iCs w:val="0"/>
          <w:sz w:val="22"/>
          <w:szCs w:val="22"/>
          <w:rtl w:val="0"/>
        </w:rPr>
        <w:t xml:space="preserve">Petchkij, W. (2019). Explicit teaching of hedges: Bringing hedging in academic writing into the Thai EFL classroom. </w:t>
      </w:r>
      <w:r>
        <w:rPr>
          <w:rFonts w:ascii="Georgia" w:cs="Georgia" w:eastAsia="Georgia" w:hAnsi="Georgia"/>
          <w:b w:val="0"/>
          <w:bCs w:val="0"/>
          <w:i w:val="1"/>
          <w:iCs w:val="1"/>
          <w:sz w:val="22"/>
          <w:szCs w:val="22"/>
          <w:rtl w:val="0"/>
        </w:rPr>
        <w:t xml:space="preserve">Electronic Journal of Foreign Language Teaching, 16(1), 95–113. https://e-flt.nus.edu.sg/wp-content/uploads/2020/09/petchkij.pdf</w:t>
      </w:r>
      <w:r>
        <w:rPr>
          <w:rtl w:val="0"/>
        </w:rPr>
      </w:r>
    </w:p>
    <w:p w:rsidR="00000000" w:rsidDel="00000000" w:rsidP="00000000" w:rsidRDefault="00000000" w:rsidRPr="00000000" w14:paraId="00000196">
      <w:pPr>
        <w:spacing w:before="0" w:after="0" w:line="480" w:lineRule="auto"/>
        <w:ind w:left="720" w:hanging="720"/>
        <w:jc w:val="left"/>
        <w:rPr/>
      </w:pPr>
      <w:r>
        <w:rPr>
          <w:rFonts w:ascii="Georgia" w:cs="Georgia" w:eastAsia="Georgia" w:hAnsi="Georgia"/>
          <w:b w:val="0"/>
          <w:bCs w:val="0"/>
          <w:i w:val="0"/>
          <w:iCs w:val="0"/>
          <w:sz w:val="22"/>
          <w:szCs w:val="22"/>
          <w:rtl w:val="0"/>
        </w:rPr>
        <w:t xml:space="preserve">Salager-Meyer, F. (1994). Hedges and textual communicative function in medical English written discourse. </w:t>
      </w:r>
      <w:r>
        <w:rPr>
          <w:rFonts w:ascii="Georgia" w:cs="Georgia" w:eastAsia="Georgia" w:hAnsi="Georgia"/>
          <w:b w:val="0"/>
          <w:bCs w:val="0"/>
          <w:i w:val="1"/>
          <w:iCs w:val="1"/>
          <w:sz w:val="22"/>
          <w:szCs w:val="22"/>
          <w:rtl w:val="0"/>
        </w:rPr>
        <w:t xml:space="preserve">English for Specific Purposes, 13</w:t>
      </w:r>
      <w:r>
        <w:rPr>
          <w:rFonts w:ascii="Georgia" w:cs="Georgia" w:eastAsia="Georgia" w:hAnsi="Georgia"/>
          <w:b w:val="0"/>
          <w:bCs w:val="0"/>
          <w:i w:val="0"/>
          <w:iCs w:val="0"/>
          <w:sz w:val="22"/>
          <w:szCs w:val="22"/>
          <w:rtl w:val="0"/>
        </w:rPr>
        <w:t xml:space="preserve">(2), 149–170. https://doi.org/10.1016/0889-4906(94)90013-2</w:t>
      </w:r>
      <w:r>
        <w:rPr>
          <w:rtl w:val="0"/>
        </w:rPr>
      </w:r>
    </w:p>
    <w:p w:rsidR="00000000" w:rsidDel="00000000" w:rsidP="00000000" w:rsidRDefault="00000000" w:rsidRPr="00000000" w14:paraId="00000197">
      <w:pPr>
        <w:spacing w:before="0" w:after="0" w:line="480" w:lineRule="auto"/>
        <w:ind w:left="720" w:hanging="720"/>
        <w:jc w:val="left"/>
        <w:rPr/>
      </w:pPr>
      <w:r>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w:t>
      </w:r>
      <w:r>
        <w:rPr>
          <w:rFonts w:ascii="Georgia" w:cs="Georgia" w:eastAsia="Georgia" w:hAnsi="Georgia"/>
          <w:b w:val="0"/>
          <w:bCs w:val="0"/>
          <w:i w:val="1"/>
          <w:iCs w:val="1"/>
          <w:sz w:val="22"/>
          <w:szCs w:val="22"/>
          <w:rtl w:val="0"/>
        </w:rPr>
        <w:t xml:space="preserve">ETERNAL (English Teaching Journal), 16</w:t>
      </w:r>
      <w:r>
        <w:rPr>
          <w:rFonts w:ascii="Georgia" w:cs="Georgia" w:eastAsia="Georgia" w:hAnsi="Georgia"/>
          <w:b w:val="0"/>
          <w:bCs w:val="0"/>
          <w:i w:val="0"/>
          <w:iCs w:val="0"/>
          <w:sz w:val="22"/>
          <w:szCs w:val="22"/>
          <w:rtl w:val="0"/>
        </w:rPr>
        <w:t xml:space="preserve">(1), 37–52. https://journal2.upgris.ac.id/index.php/eternal/article/view/1059</w:t>
      </w:r>
      <w:r>
        <w:rPr>
          <w:rtl w:val="0"/>
        </w:rPr>
      </w:r>
    </w:p>
    <w:p w:rsidR="00000000" w:rsidDel="00000000" w:rsidP="00000000" w:rsidRDefault="00000000" w:rsidRPr="00000000" w14:paraId="00000198">
      <w:pPr>
        <w:spacing w:before="0" w:after="0" w:line="480" w:lineRule="auto"/>
        <w:ind w:left="720" w:hanging="720"/>
        <w:jc w:val="left"/>
        <w:rPr/>
      </w:pPr>
      <w:r>
        <w:rPr>
          <w:rFonts w:ascii="Georgia" w:cs="Georgia" w:eastAsia="Georgia" w:hAnsi="Georgia"/>
          <w:b w:val="0"/>
          <w:bCs w:val="0"/>
          <w:i w:val="0"/>
          <w:iCs w:val="0"/>
          <w:sz w:val="22"/>
          <w:szCs w:val="22"/>
          <w:rtl w:val="0"/>
        </w:rPr>
        <w:t xml:space="preserve">Villanueva, V. S. (2014). Hedging devices in Philippine newspaper editorials. </w:t>
      </w:r>
      <w:r>
        <w:rPr>
          <w:rFonts w:ascii="Georgia" w:cs="Georgia" w:eastAsia="Georgia" w:hAnsi="Georgia"/>
          <w:b w:val="0"/>
          <w:bCs w:val="0"/>
          <w:i w:val="1"/>
          <w:iCs w:val="1"/>
          <w:sz w:val="22"/>
          <w:szCs w:val="22"/>
          <w:rtl w:val="0"/>
        </w:rPr>
        <w:t xml:space="preserve">Asian Journal of English Language Studies, 2</w:t>
      </w:r>
      <w:r>
        <w:rPr>
          <w:rFonts w:ascii="Georgia" w:cs="Georgia" w:eastAsia="Georgia" w:hAnsi="Georgia"/>
          <w:b w:val="0"/>
          <w:bCs w:val="0"/>
          <w:i w:val="0"/>
          <w:iCs w:val="0"/>
          <w:sz w:val="22"/>
          <w:szCs w:val="22"/>
          <w:rtl w:val="0"/>
        </w:rPr>
        <w:t xml:space="preserve">, 103–117. https://doi.org/10.59960/2.a5</w:t>
      </w:r>
      <w:r>
        <w:rPr>
          <w:rtl w:val="0"/>
        </w:rPr>
      </w:r>
    </w:p>
    <w:p w:rsidR="00000000" w:rsidDel="00000000" w:rsidP="00000000" w:rsidRDefault="00000000" w:rsidRPr="00000000" w14:paraId="00000199">
      <w:pPr>
        <w:spacing w:before="0" w:after="0" w:line="480" w:lineRule="auto"/>
        <w:ind w:left="720" w:hanging="720"/>
        <w:jc w:val="left"/>
        <w:rPr/>
        <w:sectPr>
          <w:headerReference r:id="rId15" w:type="default"/>
          <w:headerReference r:id="rId16"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Wang, X. (2022). </w:t>
      </w:r>
      <w:r>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Pr>
          <w:rFonts w:ascii="Georgia" w:cs="Georgia" w:eastAsia="Georgia" w:hAnsi="Georgia"/>
          <w:b w:val="0"/>
          <w:bCs w:val="0"/>
          <w:i w:val="0"/>
          <w:iCs w:val="0"/>
          <w:sz w:val="22"/>
          <w:szCs w:val="22"/>
          <w:rtl w:val="0"/>
        </w:rPr>
        <w:t xml:space="preserve"> [Preprint]. OSF Preprints. https://osf.io/preprints/edarxiv/5xj27</w:t>
      </w:r>
      <w:r>
        <w:rPr>
          <w:rtl w:val="0"/>
        </w:rPr>
      </w:r>
    </w:p>
    <w:p w:rsidR="00000000" w:rsidDel="00000000" w:rsidP="00000000" w:rsidRDefault="00000000" w:rsidRPr="00000000" w14:paraId="0000019B">
      <w:pPr>
        <w:keepLines w:val="1"/>
        <w:pageBreakBefore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keepLines w:val="1"/>
        <w:spacing w:before="240" w:after="0" w:line="480" w:lineRule="auto"/>
        <w:jc w:val="left"/>
        <w:rPr/>
      </w:pPr>
      <w:r>
        <w:rPr>
          <w:rFonts w:ascii="Georgia" w:cs="Georgia" w:eastAsia="Georgia" w:hAnsi="Georgia"/>
          <w:b w:val="1"/>
          <w:bCs w:val="1"/>
          <w:sz w:val="24"/>
          <w:szCs w:val="24"/>
          <w:rtl w:val="0"/>
        </w:rPr>
        <w:t xml:space="preserve">APPENDIX A: HEDGING CODEBOOK</w:t>
      </w:r>
      <w:r>
        <w:rPr>
          <w:rtl w:val="0"/>
        </w:rPr>
      </w:r>
    </w:p>
    <w:p w:rsidR="00000000" w:rsidDel="00000000" w:rsidP="00000000" w:rsidRDefault="00000000" w:rsidRPr="00000000" w14:paraId="000001A0">
      <w:pPr>
        <w:spacing w:before="0" w:after="0" w:line="480" w:lineRule="auto"/>
        <w:jc w:val="both"/>
        <w:rPr/>
      </w:pPr>
      <w:r>
        <w:rPr/>
        <w:t xml:space="preserve">This appendix is the full coding protocol used for the study. It opens with a one-page quick-reference, then a one-page legend and coding-sheet section, then the operational layers, decision rules, false-positive categories, and recording conventions.</w:t>
      </w:r>
    </w:p>
    <w:p w:rsidR="00000000" w:rsidDel="00000000" w:rsidP="00000000" w:rsidRDefault="00000000" w:rsidRPr="00000000" w14:paraId="000001A2">
      <w:pPr>
        <w:keepNext w:val="1"/>
        <w:spacing w:before="120" w:after="120" w:line="240" w:lineRule="auto"/>
        <w:ind w:firstLine="720"/>
        <w:jc w:val="left"/>
        <w:rPr/>
      </w:pPr>
      <w:r>
        <w:rPr>
          <w:rFonts w:ascii="Georgia" w:cs="Georgia" w:eastAsia="Georgia" w:hAnsi="Georgia"/>
          <w:b w:val="1"/>
          <w:bCs w:val="1"/>
          <w:sz w:val="24"/>
          <w:szCs w:val="24"/>
          <w:rtl w:val="0"/>
        </w:rPr>
        <w:t xml:space="preserve">QUICK-REFERENCE</w:t>
      </w:r>
      <w:r>
        <w:rPr>
          <w:rtl w:val="0"/>
        </w:rPr>
      </w:r>
    </w:p>
    <w:p w:rsidR="00000000" w:rsidDel="00000000" w:rsidP="00000000" w:rsidRDefault="00000000" w:rsidRPr="00000000" w14:paraId="000001A3">
      <w:pPr>
        <w:spacing w:before="0" w:after="0" w:line="240"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rPr>
      </w:r>
    </w:p>
    <w:p w:rsidR="00000000" w:rsidDel="00000000" w:rsidP="00000000" w:rsidRDefault="00000000" w:rsidRPr="00000000" w14:paraId="000001A4">
      <w:pPr>
        <w:keepNext w:val="1"/>
        <w:spacing w:before="120" w:after="0" w:line="240" w:lineRule="auto"/>
        <w:jc w:val="left"/>
        <w:rPr/>
      </w:pPr>
      <w:r>
        <w:rPr>
          <w:rFonts w:ascii="Georgia" w:cs="Georgia" w:eastAsia="Georgia" w:hAnsi="Georgia"/>
          <w:b w:val="1"/>
          <w:bCs w:val="1"/>
          <w:sz w:val="24"/>
          <w:szCs w:val="24"/>
          <w:rtl w:val="0"/>
        </w:rPr>
        <w:t xml:space="preserve">Hedge types</w:t>
      </w:r>
      <w:r>
        <w:rPr>
          <w:rtl w:val="0"/>
        </w:rPr>
      </w:r>
    </w:p>
    <w:p w:rsidR="00000000" w:rsidDel="00000000" w:rsidP="00000000" w:rsidRDefault="00000000" w:rsidRPr="00000000" w14:paraId="000001A5">
      <w:pPr>
        <w:spacing w:before="0" w:after="0" w:line="240"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rPr>
      </w:r>
    </w:p>
    <w:p w:rsidR="00000000" w:rsidDel="00000000" w:rsidP="00000000" w:rsidRDefault="00000000" w:rsidRPr="00000000" w14:paraId="000001A6">
      <w:pPr>
        <w:spacing w:before="0" w:after="0" w:line="240"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certainty of a claim and pass the Working Test.</w:t>
      </w:r>
      <w:r>
        <w:rPr>
          <w:rtl w:val="0"/>
        </w:rPr>
      </w:r>
    </w:p>
    <w:p w:rsidR="00000000" w:rsidDel="00000000" w:rsidP="00000000" w:rsidRDefault="00000000" w:rsidRPr="00000000" w14:paraId="000001A7">
      <w:pPr>
        <w:spacing w:before="0" w:after="0" w:line="240"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rPr>
      </w:r>
    </w:p>
    <w:p w:rsidR="00000000" w:rsidDel="00000000" w:rsidP="00000000" w:rsidRDefault="00000000" w:rsidRPr="00000000" w14:paraId="000001A8">
      <w:pPr>
        <w:spacing w:before="0" w:after="0" w:line="240"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rPr>
      </w:r>
    </w:p>
    <w:p w:rsidR="00000000" w:rsidDel="00000000" w:rsidP="00000000" w:rsidRDefault="00000000" w:rsidRPr="00000000" w14:paraId="000001A9">
      <w:pPr>
        <w:keepNext w:val="1"/>
        <w:spacing w:before="120" w:after="0" w:line="240" w:lineRule="auto"/>
        <w:ind w:firstLine="720"/>
        <w:jc w:val="left"/>
        <w:rPr/>
      </w:pPr>
      <w:r>
        <w:rPr>
          <w:rFonts w:ascii="Georgia" w:cs="Georgia" w:eastAsia="Georgia" w:hAnsi="Georgia"/>
          <w:b w:val="1"/>
          <w:bCs w:val="1"/>
          <w:sz w:val="24"/>
          <w:szCs w:val="24"/>
          <w:rtl w:val="0"/>
        </w:rPr>
        <w:t xml:space="preserve">Hedge functions</w:t>
      </w:r>
      <w:r>
        <w:rPr>
          <w:rtl w:val="0"/>
        </w:rPr>
      </w:r>
    </w:p>
    <w:p w:rsidR="00000000" w:rsidDel="00000000" w:rsidP="00000000" w:rsidRDefault="00000000" w:rsidRPr="00000000" w14:paraId="000001AA">
      <w:pPr>
        <w:spacing w:before="0" w:after="0" w:line="240"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rPr>
      </w:r>
    </w:p>
    <w:p w:rsidR="00000000" w:rsidDel="00000000" w:rsidP="00000000" w:rsidRDefault="00000000" w:rsidRPr="00000000" w14:paraId="000001AB">
      <w:pPr>
        <w:spacing w:before="0" w:after="0" w:line="240"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rPr>
      </w:r>
    </w:p>
    <w:p w:rsidR="00000000" w:rsidDel="00000000" w:rsidP="00000000" w:rsidRDefault="00000000" w:rsidRPr="00000000" w14:paraId="000001AC">
      <w:pPr>
        <w:spacing w:before="0" w:after="0" w:line="240"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rPr>
      </w:r>
    </w:p>
    <w:p w:rsidR="00000000" w:rsidDel="00000000" w:rsidP="00000000" w:rsidRDefault="00000000" w:rsidRPr="00000000" w14:paraId="000001AD">
      <w:pPr>
        <w:keepNext w:val="1"/>
        <w:spacing w:before="120" w:after="0" w:line="240" w:lineRule="auto"/>
        <w:ind w:firstLine="720"/>
        <w:jc w:val="left"/>
        <w:rPr/>
      </w:pPr>
      <w:r>
        <w:rPr>
          <w:rFonts w:ascii="Georgia" w:cs="Georgia" w:eastAsia="Georgia" w:hAnsi="Georgia"/>
          <w:b w:val="1"/>
          <w:bCs w:val="1"/>
          <w:sz w:val="24"/>
          <w:szCs w:val="24"/>
          <w:rtl w:val="0"/>
        </w:rPr>
        <w:t xml:space="preserve">Core decision rules</w:t>
      </w:r>
      <w:r>
        <w:rPr>
          <w:rtl w:val="0"/>
        </w:rPr>
      </w:r>
    </w:p>
    <w:p w:rsidR="00000000" w:rsidDel="00000000" w:rsidP="00000000" w:rsidRDefault="00000000" w:rsidRPr="00000000" w14:paraId="000001AE">
      <w:pPr>
        <w:spacing w:before="0" w:after="0" w:line="240" w:lineRule="auto"/>
        <w:ind w:left="240" w:firstLine="720"/>
        <w:jc w:val="both"/>
        <w:rPr/>
      </w:pPr>
      <w:r>
        <w:rPr>
          <w:rFonts w:ascii="Georgia" w:cs="Cardo" w:eastAsia="Cardo" w:hAnsi="Georgia"/>
          <w:sz w:val="24"/>
          <w:szCs w:val="24"/>
          <w:rtl w:val="0"/>
          <w:i/>
          <w:iCs/>
        </w:rPr>
        <w:t xml:space="preserve">suggest / indicate → hedge when introducing a finding; not a hedge when introducing a recommendation.</w:t>
      </w:r>
      <w:r>
        <w:rPr>
          <w:rtl w:val="0"/>
          <w:rFonts w:ascii="Georgia" w:hAnsi="Georgia"/>
          <w:sz w:val="24"/>
          <w:szCs w:val="24"/>
          <w:i/>
          <w:iCs/>
        </w:rPr>
      </w:r>
    </w:p>
    <w:p w:rsidR="00000000" w:rsidDel="00000000" w:rsidP="00000000" w:rsidRDefault="00000000" w:rsidRPr="00000000" w14:paraId="000001AF">
      <w:pPr>
        <w:spacing w:before="0" w:after="0" w:line="240" w:lineRule="auto"/>
        <w:ind w:left="240" w:firstLine="720"/>
        <w:jc w:val="both"/>
        <w:rPr/>
      </w:pPr>
      <w:r>
        <w:rPr>
          <w:rFonts w:ascii="Georgia" w:cs="Cardo" w:eastAsia="Cardo" w:hAnsi="Georgia"/>
          <w:sz w:val="24"/>
          <w:szCs w:val="24"/>
          <w:rtl w:val="0"/>
          <w:i/>
          <w:iCs/>
        </w:rPr>
        <w:t xml:space="preserve">can / may → hedge when marking possibility; not a hedge when marking capability.</w:t>
      </w:r>
      <w:r>
        <w:rPr>
          <w:rtl w:val="0"/>
          <w:rFonts w:ascii="Georgia" w:hAnsi="Georgia"/>
          <w:sz w:val="24"/>
          <w:szCs w:val="24"/>
          <w:i/>
          <w:iCs/>
        </w:rPr>
      </w:r>
    </w:p>
    <w:p w:rsidR="00000000" w:rsidDel="00000000" w:rsidP="00000000" w:rsidRDefault="00000000" w:rsidRPr="00000000" w14:paraId="000001B0">
      <w:pPr>
        <w:spacing w:before="0" w:after="0" w:line="240" w:lineRule="auto"/>
        <w:ind w:left="240" w:firstLine="720"/>
        <w:jc w:val="both"/>
        <w:rPr/>
      </w:pPr>
      <w:r>
        <w:rPr>
          <w:rFonts w:ascii="Georgia" w:cs="Cardo" w:eastAsia="Cardo" w:hAnsi="Georgia"/>
          <w:sz w:val="24"/>
          <w:szCs w:val="24"/>
          <w:rtl w:val="0"/>
          <w:i/>
          <w:iCs/>
        </w:rPr>
        <w:t xml:space="preserve">generally / typically → hedge when limiting the scope of a claim; not a hedge when describing a procedural norm.</w:t>
      </w:r>
      <w:r>
        <w:rPr>
          <w:rtl w:val="0"/>
          <w:rFonts w:ascii="Georgia" w:hAnsi="Georgia"/>
          <w:sz w:val="24"/>
          <w:szCs w:val="24"/>
          <w:i/>
          <w:iCs/>
        </w:rPr>
      </w:r>
    </w:p>
    <w:p w:rsidR="00000000" w:rsidDel="00000000" w:rsidP="00000000" w:rsidRDefault="00000000" w:rsidRPr="00000000" w14:paraId="000001B1">
      <w:pPr>
        <w:spacing w:before="0" w:after="0" w:line="240" w:lineRule="auto"/>
        <w:ind w:left="240" w:firstLine="0"/>
        <w:jc w:val="both"/>
        <w:rPr/>
      </w:pPr>
      <w:r>
        <w:rPr>
          <w:rFonts w:ascii="Georgia" w:cs="Cardo" w:eastAsia="Cardo" w:hAnsi="Georgia"/>
          <w:sz w:val="24"/>
          <w:szCs w:val="24"/>
          <w:rtl w:val="0"/>
          <w:i/>
          <w:iCs/>
        </w:rPr>
        <w:t xml:space="preserve">appear / seem → hedge when expressing uncertainty about a result; not a hedge when pointing to location in a table or text.</w:t>
      </w:r>
      <w:r>
        <w:rPr>
          <w:rtl w:val="0"/>
          <w:rFonts w:ascii="Georgia" w:hAnsi="Georgia"/>
          <w:sz w:val="24"/>
          <w:szCs w:val="24"/>
          <w:i/>
          <w:iCs/>
        </w:rPr>
      </w:r>
    </w:p>
    <w:p w:rsidR="00000000" w:rsidDel="00000000" w:rsidP="00000000" w:rsidRDefault="00000000" w:rsidRPr="00000000" w14:paraId="000001B2">
      <w:pPr>
        <w:keepNext w:val="1"/>
        <w:spacing w:before="120" w:after="0" w:line="240" w:lineRule="auto"/>
        <w:ind w:firstLine="720"/>
        <w:jc w:val="left"/>
        <w:rPr/>
      </w:pPr>
      <w:r>
        <w:rPr>
          <w:rFonts w:ascii="Georgia" w:cs="Georgia" w:eastAsia="Georgia" w:hAnsi="Georgia"/>
          <w:b w:val="1"/>
          <w:bCs w:val="1"/>
          <w:sz w:val="24"/>
          <w:szCs w:val="24"/>
          <w:rtl w:val="0"/>
        </w:rPr>
        <w:t xml:space="preserve">Exclusion and Working Test</w:t>
      </w:r>
      <w:r>
        <w:rPr>
          <w:rtl w:val="0"/>
        </w:rPr>
      </w:r>
    </w:p>
    <w:p w:rsidR="00000000" w:rsidDel="00000000" w:rsidP="00000000" w:rsidRDefault="00000000" w:rsidRPr="00000000" w14:paraId="000001B3">
      <w:pPr>
        <w:spacing w:before="0" w:after="0" w:line="240" w:lineRule="auto"/>
        <w:jc w:val="both"/>
        <w:rPr/>
      </w:pPr>
      <w:r>
        <w:rPr>
          <w:rFonts w:ascii="Georgia" w:cs="Georgia" w:eastAsia="Georgia" w:hAnsi="Georgia"/>
          <w:b w:val="0"/>
          <w:bCs w:val="0"/>
          <w:sz w:val="22"/>
          <w:szCs w:val="22"/>
          <w:rtl w:val="0"/>
        </w:rPr>
        <w:t xml:space="preserve">Ability, future procedure, and necessity (must / should in procedural contexts) are never hedges. Working Test: if removing the device does not change how certain or tentative the claim is, it is not a hedge.</w:t>
      </w:r>
      <w:r>
        <w:rPr>
          <w:rtl w:val="0"/>
        </w:rPr>
      </w:r>
    </w:p>
    <w:p>
      <w:pPr/>
      <w:r>
        <w:br w:type="page"/>
      </w:r>
    </w:p>
    <w:p w:rsidR="00000000" w:rsidDel="00000000" w:rsidP="00000000" w:rsidRDefault="00000000" w:rsidRPr="00000000" w14:paraId="00000233">
      <w:pPr>
        <w:keepNext w:val="1"/>
        <w:spacing w:before="60" w:after="0" w:line="312"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35">
            <w:pPr>
              <w:spacing w:before="0" w:after="0" w:line="312"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312"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cantSplit w:val="1"/>
          <w:tblHeader w:val="0"/>
        </w:trPr>
        <w:tc>
          <w:tcPr/>
          <w:p w:rsidR="00000000" w:rsidDel="00000000" w:rsidP="00000000" w:rsidRDefault="00000000" w:rsidRPr="00000000" w14:paraId="00000237">
            <w:pPr>
              <w:spacing w:before="0" w:after="0" w:line="312"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312"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312"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312"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312"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312"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312"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cantSplit w:val="1"/>
          <w:tblHeader w:val="0"/>
        </w:trPr>
        <w:tc>
          <w:tcPr/>
          <w:p w:rsidR="00000000" w:rsidDel="00000000" w:rsidP="00000000" w:rsidRDefault="00000000" w:rsidRPr="00000000" w14:paraId="0000023E">
            <w:pPr>
              <w:spacing w:before="0" w:after="0" w:line="312" w:lineRule="auto"/>
              <w:jc w:val="both"/>
              <w:rPr/>
            </w:pPr>
            <w:r>
              <w:rPr>
                <w:rFonts w:ascii="Georgia" w:cs="Georgia" w:eastAsia="Georgia" w:hAnsi="Georgia"/>
                <w:b w:val="1"/>
                <w:bCs w:val="1"/>
                <w:i w:val="0"/>
                <w:iCs w:val="0"/>
                <w:color w:val="000000"/>
                <w:sz w:val="18"/>
                <w:szCs w:val="18"/>
                <w:rtl w:val="0"/>
              </w:rPr>
              <w:t xml:space="preserve">UNHEDGED SITES (Grey Highlight, Optional)</w:t>
            </w:r>
            <w:r>
              <w:rPr>
                <w:rtl w:val="0"/>
                <w:sz w:val="18"/>
                <w:szCs w:val="18"/>
                <w:rFonts w:ascii="Georgia" w:hAnsi="Georgia"/>
              </w:rPr>
            </w:r>
          </w:p>
          <w:p w:rsidR="00000000" w:rsidDel="00000000" w:rsidP="00000000" w:rsidRDefault="00000000" w:rsidRPr="00000000" w14:paraId="0000023F">
            <w:pPr>
              <w:spacing w:before="0" w:after="0" w:line="312" w:lineRule="auto"/>
              <w:jc w:val="both"/>
              <w:rPr/>
            </w:pPr>
            <w:r>
              <w:rPr>
                <w:rFonts w:ascii="Georgia" w:cs="Georgia" w:eastAsia="Georgia" w:hAnsi="Georgia"/>
                <w:sz w:val="18"/>
                <w:szCs w:val="18"/>
                <w:shd w:fill="bfbfbf" w:val="clear"/>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312"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312"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60" w:after="0" w:line="312"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312"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w:t>
      </w:r>
      <w:r>
        <w:rPr>
          <w:rFonts w:ascii="Georgia" w:cs="Georgia" w:eastAsia="Georgia" w:hAnsi="Georgia"/>
          <w:b w:val="0"/>
          <w:bCs w:val="0"/>
          <w:i w:val="0"/>
          <w:iCs w:val="0"/>
          <w:color w:val="000000"/>
          <w:sz w:val="22"/>
          <w:szCs w:val="22"/>
          <w:rtl w:val="0"/>
        </w:rPr>
        <w:t xml:space="preserve">“The results </w:t>
      </w:r>
      <w:r>
        <w:rPr>
          <w:rFonts w:ascii="Georgia" w:cs="Georgia" w:eastAsia="Georgia" w:hAnsi="Georgia"/>
          <w:b w:val="1"/>
          <w:bCs w:val="1"/>
          <w:strike w:val="0"/>
          <w:color w:val="ffffff"/>
          <w:sz w:val="22"/>
          <w:szCs w:val="22"/>
          <w:highlight w:val="red"/>
          <w:rtl w:val="0"/>
        </w:rPr>
        <w:t xml:space="preserve">suggested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ed7d31"/>
          <w:sz w:val="22"/>
          <w:szCs w:val="22"/>
          <w:rtl w:val="0"/>
        </w:rPr>
        <w:t xml:space="preserve">(EC)</w:t>
      </w:r>
      <w:r>
        <w:rPr>
          <w:rFonts w:ascii="Georgia" w:cs="Georgia" w:eastAsia="Georgia" w:hAnsi="Georgia"/>
          <w:b w:val="0"/>
          <w:bCs w:val="0"/>
          <w:i w:val="0"/>
          <w:iCs w:val="0"/>
          <w:color w:val="000000"/>
          <w:sz w:val="22"/>
          <w:szCs w:val="22"/>
          <w:rtl w:val="0"/>
        </w:rPr>
        <w:t xml:space="preserve"> that C. longa extracts are potential (EC) alternative stains. PCR </w:t>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(FP-Cap)</w:t>
      </w:r>
      <w:r>
        <w:rPr>
          <w:rFonts w:ascii="Georgia" w:cs="Georgia" w:eastAsia="Georgia" w:hAnsi="Georgia"/>
          <w:b w:val="0"/>
          <w:bCs w:val="0"/>
          <w:i w:val="0"/>
          <w:iCs w:val="0"/>
          <w:color w:val="000000"/>
          <w:sz w:val="22"/>
          <w:szCs w:val="22"/>
          <w:rtl w:val="0"/>
        </w:rPr>
        <w:t xml:space="preserve"> also detect low concentrations, while a prior line stated flatly that </w:t>
      </w:r>
      <w:r>
        <w:rPr>
          <w:rFonts w:ascii="Georgia" w:cs="Georgia" w:eastAsia="Georgia" w:hAnsi="Georgia"/>
          <w:b w:val="1"/>
          <w:bCs w:val="1"/>
          <w:strike w:val="0"/>
          <w:color w:val="000000"/>
          <w:sz w:val="22"/>
          <w:szCs w:val="22"/>
          <w:shd w:fill="bfbfbf" w:val="clear"/>
          <w:rtl w:val="0"/>
        </w:rPr>
        <w:t xml:space="preserve">Results showed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000000"/>
          <w:sz w:val="22"/>
          <w:szCs w:val="22"/>
          <w:rtl w:val="0"/>
        </w:rPr>
        <w:t xml:space="preserve">[R]</w:t>
      </w:r>
      <w:r>
        <w:rPr>
          <w:rFonts w:ascii="Georgia" w:cs="Georgia" w:eastAsia="Georgia" w:hAnsi="Georgia"/>
          <w:b w:val="0"/>
          <w:bCs w:val="0"/>
          <w:i w:val="0"/>
          <w:iCs w:val="0"/>
          <w:color w:val="000000"/>
          <w:sz w:val="22"/>
          <w:szCs w:val="22"/>
          <w:rtl w:val="0"/>
        </w:rPr>
        <w:t xml:space="preserve"> no infection.”</w:t>
      </w:r>
      <w:r>
        <w:rPr>
          <w:rtl w:val="0"/>
        </w:rPr>
      </w:r>
    </w:p>
    <w:p w:rsidR="00000000" w:rsidDel="00000000" w:rsidP="00000000" w:rsidRDefault="00000000" w:rsidRPr="00000000" w14:paraId="00000245">
      <w:pPr>
        <w:spacing w:before="0" w:after="0" w:line="312" w:lineRule="auto"/>
        <w:ind w:firstLine="720"/>
        <w:jc w:val="both"/>
        <w:rPr/>
      </w:pPr>
      <w:r>
        <w:rPr>
          <w:i w:val="1"/>
          <w:iCs w:val="1"/>
          <w:color w:val="404040"/>
          <w:rtl w:val="0"/>
        </w:rPr>
        <w:t xml:space="preserve"/>
      </w:r>
      <w:r>
        <w:rPr>
          <w:rFonts w:ascii="Georgia" w:cs="Georgia" w:eastAsia="Georgia" w:hAnsi="Georgia"/>
          <w:b w:val="0"/>
          <w:bCs w:val="0"/>
          <w:i w:val="1"/>
          <w:iCs w:val="1"/>
          <w:color w:val="404040"/>
          <w:sz w:val="22"/>
          <w:szCs w:val="22"/>
          <w:rtl w:val="0"/>
        </w:rPr>
        <w:t xml:space="preserve"> Red highlights mark type. Orange text marks function. Grey highlight marks an unhedged site. Here, “potential” is retained as a Lexical hedge because it appears in a results/conclusion sentence and qualifies the claim about the extracts.</w:t>
      </w:r>
      <w:r>
        <w:rPr>
          <w:rtl w:val="0"/>
        </w:rPr>
      </w:r>
    </w:p>
    <w:p w:rsidR="00000000" w:rsidDel="00000000" w:rsidP="00000000" w:rsidRDefault="00000000" w:rsidRPr="00000000" w14:paraId="00000247">
      <w:pPr>
        <w:keepNext w:val="1"/>
        <w:spacing w:before="120" w:after="0" w:line="312"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49">
            <w:pPr>
              <w:spacing w:before="0" w:after="0" w:line="312"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312"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312"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312"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312"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312"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312"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312"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51">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60" w:after="0" w:line="312"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0" w:line="312" w:lineRule="auto"/>
        <w:ind w:firstLine="720"/>
        <w:jc w:val="both"/>
        <w:rPr/>
      </w:pPr>
      <w:r>
        <w:rPr>
          <w:rFonts w:ascii="Georgia" w:cs="Georgia" w:eastAsia="Georgia" w:hAnsi="Georgia"/>
          <w:b w:val="0"/>
          <w:bCs w:val="0"/>
          <w:i w:val="1"/>
          <w:iCs w:val="1"/>
          <w:color w:val="000000"/>
          <w:sz w:val="22"/>
          <w:szCs w:val="22"/>
          <w:rtl w:val="0"/>
        </w:rPr>
        <w:t xml:space="preserve">Layer 3 data, tracked separately so it never inflates RQ2 counts.</w:t>
      </w:r>
      <w:r>
        <w:rPr>
          <w:rtl w:val="0"/>
        </w:rPr>
      </w:r>
    </w:p>
    <w:p w:rsidR="00000000" w:rsidDel="00000000" w:rsidP="00000000" w:rsidRDefault="00000000" w:rsidRPr="00000000" w14:paraId="0000025E">
      <w:pPr>
        <w:keepNext w:val="1"/>
        <w:keepLines w:val="1"/>
        <w:spacing w:before="120" w:after="0" w:line="312" w:lineRule="auto"/>
        <w:jc w:val="left"/>
        <w:rPr/>
      </w:pPr>
      <w:r>
        <w:rPr>
          <w:rFonts w:ascii="Georgia" w:cs="Georgia" w:eastAsia="Georgia" w:hAnsi="Georgia"/>
          <w:b w:val="0"/>
          <w:bCs w:val="0"/>
          <w:i w:val="1"/>
          <w:iCs w:val="1"/>
          <w:sz w:val="24"/>
          <w:szCs w:val="24"/>
          <w:rtl w:val="0"/>
        </w:rPr>
        <w:t xml:space="preserve">Optional Tab: Unhedged Assertion Sites</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5F">
            <w:pPr>
              <w:spacing w:before="0" w:after="0" w:line="312"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312"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312"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312"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312"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312"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65">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60" w:after="0" w:line="312"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6E">
            <w:pPr>
              <w:spacing w:before="0" w:after="0" w:line="312"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312"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312"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312"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312"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312"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74">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pPr>
        <w:spacing w:line="312" w:lineRule="auto"/>
      </w:pPr>
      <w:r>
        <w:br w:type="page"/>
      </w:r>
    </w:p>
    <w:p w:rsidR="00000000" w:rsidDel="00000000" w:rsidP="00000000" w:rsidRDefault="00000000" w:rsidRPr="00000000" w14:paraId="000001B4">
      <w:pPr>
        <w:keepNext w:val="1"/>
        <w:pageBreakBefore w:val="1"/>
        <w:spacing w:before="720" w:after="120" w:line="36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firstLine="720"/>
        <w:jc w:val="both"/>
        <w:rPr/>
      </w:pPr>
      <w:r>
        <w:rPr>
          <w:rFonts w:ascii="Georgia" w:cs="Georgia" w:eastAsia="Georgia" w:hAnsi="Georgia"/>
          <w:b w:val="0"/>
          <w:bCs w:val="0"/>
          <w:sz w:val="22"/>
          <w:szCs w:val="22"/>
          <w:rtl w:val="0"/>
        </w:rPr>
        <w:t xml:space="preserve">This codebook turns Hyland’s (1998) framework into a practical coding scheme for the PSAU undergraduate thesis abstract corpus. </w:t>
      </w:r>
      <w:r>
        <w:rPr>
          <w:rtl w:val="0"/>
        </w:rPr>
      </w:r>
    </w:p>
    <w:p w:rsidR="00000000" w:rsidDel="00000000" w:rsidP="00000000" w:rsidRDefault="00000000" w:rsidRPr="00000000" w14:paraId="000001B8">
      <w:pPr>
        <w:keepNext w:val="1"/>
        <w:spacing w:before="120" w:after="0" w:line="360" w:lineRule="auto"/>
        <w:jc w:val="left"/>
        <w:rPr/>
      </w:pPr>
      <w:r>
        <w:rPr>
          <w:rFonts w:ascii="Georgia" w:cs="Georgia" w:eastAsia="Georgia" w:hAnsi="Georgia"/>
          <w:b w:val="1"/>
          <w:bCs w:val="1"/>
          <w:i w:val="0"/>
          <w:iCs w:val="0"/>
          <w:sz w:val="24"/>
          <w:szCs w:val="24"/>
          <w:rtl w:val="0"/>
        </w:rPr>
        <w:t xml:space="preserve">WORKING TEST</w:t>
      </w:r>
      <w:r>
        <w:rPr>
          <w:rtl w:val="0"/>
        </w:rPr>
      </w:r>
    </w:p>
    <w:p w:rsidR="00000000" w:rsidDel="00000000" w:rsidP="00000000" w:rsidRDefault="00000000" w:rsidRPr="00000000" w14:paraId="000001B9">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If removing a device does not change the epistemic weight of the claim (how certain or tentative it is), it is not a hedge. This includes phrases that only point to evidence for a claim already asserted elsewhere in the sentence (e.g., </w:t>
      </w:r>
      <w:r>
        <w:rPr>
          <w:rFonts w:ascii="Georgia" w:cs="Georgia" w:eastAsia="Georgia" w:hAnsi="Georgia"/>
          <w:b w:val="0"/>
          <w:bCs w:val="0"/>
          <w:i w:val="1"/>
          <w:iCs w:val="1"/>
          <w:color w:val="000000"/>
          <w:sz w:val="22"/>
          <w:szCs w:val="22"/>
          <w:rtl w:val="0"/>
        </w:rPr>
        <w:t xml:space="preserve">“as indicated by X”</w:t>
      </w:r>
      <w:r>
        <w:rPr>
          <w:rFonts w:ascii="Georgia" w:cs="Georgia" w:eastAsia="Georgia" w:hAnsi="Georgia"/>
          <w:b w:val="0"/>
          <w:bCs w:val="0"/>
          <w:i w:val="0"/>
          <w:iCs w:val="0"/>
          <w:color w:val="000000"/>
          <w:sz w:val="22"/>
          <w:szCs w:val="22"/>
          <w:rtl w:val="0"/>
        </w:rPr>
        <w:t xml:space="preserve">) rather than expressing uncertainty about the claim itself.</w:t>
      </w:r>
      <w:r>
        <w:rPr>
          <w:rtl w:val="0"/>
        </w:rPr>
      </w:r>
    </w:p>
    <w:p w:rsidR="00000000" w:rsidDel="00000000" w:rsidP="00000000" w:rsidRDefault="00000000" w:rsidRPr="00000000" w14:paraId="000001BA">
      <w:pPr>
        <w:spacing w:before="0" w:after="0" w:line="360" w:lineRule="auto"/>
        <w:ind w:firstLine="720"/>
        <w:jc w:val="both"/>
        <w:rPr/>
      </w:pPr>
      <w:r>
        <w:rPr>
          <w:rFonts w:ascii="Georgia" w:cs="Georgia" w:eastAsia="Georgia" w:hAnsi="Georgia"/>
          <w:b w:val="0"/>
          <w:bCs w:val="0"/>
          <w:i w:val="0"/>
          <w:iCs w:val="0"/>
          <w:sz w:val="22"/>
          <w:szCs w:val="22"/>
          <w:rtl w:val="0"/>
        </w:rPr>
        <w:t xml:space="preserve">Epistemic vs. deontic: epistemic language concerns how certain a claim is (what may or might be true). Deontic language concerns what should or needs to be done. Hedges are epistemic. Deontic language is never a hedge, whatever verb carries it. Example: “We suggest further research” is FP-Rec even though “suggest” is on the hedge list.</w:t>
      </w:r>
      <w:r>
        <w:rPr>
          <w:rtl w:val="0"/>
        </w:rPr>
      </w:r>
    </w:p>
    <w:p w:rsidR="00000000" w:rsidDel="00000000" w:rsidP="00000000" w:rsidRDefault="00000000" w:rsidRPr="00000000" w14:paraId="000001BB">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Do not code a word as a hedge just because it appears in the hedge list. Evaluate its function in the sentence: </w:t>
      </w:r>
      <w:r>
        <w:rPr>
          <w:rFonts w:ascii="Georgia" w:cs="Georgia" w:eastAsia="Georgia" w:hAnsi="Georgia"/>
          <w:b w:val="0"/>
          <w:bCs w:val="0"/>
          <w:i w:val="1"/>
          <w:iCs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is a hedge only for possibility, not capability; </w:t>
      </w:r>
      <w:r>
        <w:rPr>
          <w:rFonts w:ascii="Georgia" w:cs="Georgia" w:eastAsia="Georgia" w:hAnsi="Georgia"/>
          <w:b w:val="0"/>
          <w:bCs w:val="0"/>
          <w:i w:val="1"/>
          <w:iCs w:val="1"/>
          <w:color w:val="000000"/>
          <w:sz w:val="22"/>
          <w:szCs w:val="22"/>
          <w:rtl w:val="0"/>
        </w:rPr>
        <w:t xml:space="preserve">“suggest”</w:t>
      </w:r>
      <w:r>
        <w:rPr>
          <w:rFonts w:ascii="Georgia" w:cs="Georgia" w:eastAsia="Georgia" w:hAnsi="Georgia"/>
          <w:b w:val="0"/>
          <w:bCs w:val="0"/>
          <w:i w:val="0"/>
          <w:iCs w:val="0"/>
          <w:color w:val="000000"/>
          <w:sz w:val="22"/>
          <w:szCs w:val="22"/>
          <w:rtl w:val="0"/>
        </w:rPr>
        <w:t xml:space="preserve"> is a hedge only for a finding, not a recommendation.</w:t>
      </w:r>
      <w:r>
        <w:rPr>
          <w:rtl w:val="0"/>
        </w:rPr>
      </w:r>
    </w:p>
    <w:p w:rsidR="00000000" w:rsidDel="00000000" w:rsidP="00000000" w:rsidRDefault="00000000" w:rsidRPr="00000000" w14:paraId="000001BC">
      <w:pPr>
        <w:spacing w:before="0" w:after="0" w:line="360" w:lineRule="auto"/>
        <w:ind w:firstLine="720"/>
        <w:jc w:val="both"/>
        <w:rPr/>
      </w:pPr>
      <w:r>
        <w:rPr>
          <w:rFonts w:ascii="Georgia" w:cs="Georgia" w:eastAsia="Georgia" w:hAnsi="Georgia"/>
          <w:b w:val="0"/>
          <w:bCs w:val="0"/>
          <w:i w:val="0"/>
          <w:iCs w:val="0"/>
          <w:sz w:val="22"/>
          <w:szCs w:val="22"/>
          <w:rtl w:val="0"/>
        </w:rPr>
        <w:t xml:space="preserve">Coding order: read the sentence in full, check Decision Rules, apply the Working Test if unresolved, and log any case that still can’t be resolved in Coder Notes rather than guessing.</w:t>
      </w:r>
      <w:r>
        <w:rPr>
          <w:rtl w:val="0"/>
        </w:rPr>
      </w:r>
    </w:p>
    <w:p w:rsidR="00000000" w:rsidDel="00000000" w:rsidP="00000000" w:rsidRDefault="00000000" w:rsidRPr="00000000" w14:paraId="000001BE">
      <w:pPr>
        <w:keepNext w:val="1"/>
        <w:spacing w:before="120" w:after="0" w:line="360" w:lineRule="auto"/>
        <w:jc w:val="left"/>
        <w:rPr/>
      </w:pPr>
      <w:r>
        <w:rPr>
          <w:rFonts w:ascii="Georgia" w:cs="Georgia" w:eastAsia="Georgia" w:hAnsi="Georgia"/>
          <w:b w:val="1"/>
          <w:bCs w:val="1"/>
          <w:i w:val="0"/>
          <w:iCs w:val="0"/>
          <w:sz w:val="24"/>
          <w:szCs w:val="24"/>
          <w:rtl w:val="0"/>
        </w:rPr>
        <w:t xml:space="preserve">LAYER 1: HEDGE TYPE (PRIMARY COLORS)</w:t>
      </w:r>
      <w:r>
        <w:rPr>
          <w:rtl w:val="0"/>
        </w:rPr>
      </w:r>
    </w:p>
    <w:p w:rsidR="00000000" w:rsidDel="00000000" w:rsidP="00000000" w:rsidRDefault="00000000" w:rsidRPr="00000000" w14:paraId="000001BF">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val="1"/>
          <w:tblHeader w:val="0"/>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val="1"/>
          <w:tblHeader w:val="0"/>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val="1"/>
          <w:tblHeader w:val="0"/>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240" w:after="0" w:line="480" w:lineRule="auto"/>
        <w:ind w:firstLine="720"/>
        <w:jc w:val="both"/>
        <w:rPr/>
      </w:pPr>
      <w:r>
        <w:rPr>
          <w:rFonts w:ascii="Georgia" w:cs="Georgia" w:eastAsia="Georgia" w:hAnsi="Georgia"/>
          <w:b w:val="0"/>
          <w:bCs w:val="0"/>
          <w:i w:val="1"/>
          <w:iCs w:val="1"/>
          <w:color w:val="000000"/>
          <w:sz w:val="22"/>
          <w:szCs w:val="22"/>
          <w:rtl w:val="0"/>
        </w:rPr>
        <w:t xml:space="preserve">Exclusions (capability, recommendation, procedural norm, location) are covered under </w:t>
      </w:r>
      <w:r>
        <w:rPr>
          <w:rFonts w:ascii="Georgia" w:cs="Georgia" w:eastAsia="Georgia" w:hAnsi="Georgia"/>
          <w:b w:val="1"/>
          <w:bCs w:val="1"/>
          <w:i w:val="1"/>
          <w:iCs w:val="1"/>
          <w:color w:val="000000"/>
          <w:sz w:val="22"/>
          <w:szCs w:val="22"/>
          <w:rtl w:val="0"/>
        </w:rPr>
        <w:t xml:space="preserve">Decision Rules</w:t>
      </w:r>
      <w:r>
        <w:rPr>
          <w:rFonts w:ascii="Georgia" w:cs="Georgia" w:eastAsia="Georgia" w:hAnsi="Georgia"/>
          <w:b w:val="0"/>
          <w:bCs w:val="0"/>
          <w:i w:val="1"/>
          <w:iCs w:val="1"/>
          <w:color w:val="000000"/>
          <w:sz w:val="22"/>
          <w:szCs w:val="22"/>
          <w:rtl w:val="0"/>
        </w:rPr>
        <w:t xml:space="preserve">.</w:t>
      </w:r>
      <w:r>
        <w:rPr>
          <w:rtl w:val="0"/>
        </w:rPr>
      </w:r>
    </w:p>
    <w:p w:rsidR="00000000" w:rsidDel="00000000" w:rsidP="00000000" w:rsidRDefault="00000000" w:rsidRPr="00000000" w14:paraId="000001D6">
      <w:pPr>
        <w:keepNext w:val="1"/>
        <w:spacing w:before="120" w:after="0" w:line="360" w:lineRule="auto"/>
        <w:ind w:firstLine="720"/>
        <w:jc w:val="both"/>
        <w:rPr/>
      </w:pPr>
      <w:r>
        <w:rPr>
          <w:rFonts w:ascii="Georgia" w:cs="Georgia" w:eastAsia="Georgia" w:hAnsi="Georgia"/>
          <w:i w:val="0"/>
          <w:iCs w:val="0"/>
          <w:color w:val="000000"/>
          <w:sz w:val="22"/>
          <w:szCs w:val="22"/>
          <w:rtl w:val="0"/>
        </w:rPr>
        <w:t xml:space="preserve">Extensions: “imply/implies/implying” functions as suggest. “Can be concluded / derived / stated / attributed to / seen as” is an inferential hedge, distinct from capability “can” (see Decision Rules). “Potentially” is an adverbial hedge. “Potential” naming the research object itself (e.g., “assessed the potential of X”) is not markable, it names a topic rather than qualifying a claim. Stricter rule for “potential + noun” constructions: if the phrase sits in an introduction/rationale sentence (motivating why the topic matters, before any data is presented), treat as topic-naming (FP-Gen) regardless of the verb used. If it sits in a results/conclusion sentence qualifying a claim about findings, treat as a Lexical hedge (EC). The distinction is structural position, not verb choice. Prefer the Working Test over structural position when the two conflict: if removing the token changes the writer’s commitment to a proposition, code it as a Lexical hedge (EC) even in an introduction or rationale sentence.</w:t>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tl w:val="0"/>
        </w:rPr>
      </w:r>
    </w:p>
    <w:p w:rsidR="00000000" w:rsidDel="00000000" w:rsidP="00000000" w:rsidRDefault="00000000" w:rsidRPr="00000000" w14:paraId="000001D8">
      <w:pPr>
        <w:keepNext w:val="1"/>
        <w:keepLines w:val="1"/>
        <w:spacing w:before="120" w:after="0" w:line="360" w:lineRule="auto"/>
        <w:jc w:val="left"/>
        <w:rPr/>
      </w:pPr>
      <w:r>
        <w:rPr>
          <w:rFonts w:ascii="Georgia" w:cs="Georgia" w:eastAsia="Georgia" w:hAnsi="Georgia"/>
          <w:b w:val="1"/>
          <w:bCs w:val="1"/>
          <w:i w:val="0"/>
          <w:iCs w:val="0"/>
          <w:sz w:val="24"/>
          <w:szCs w:val="24"/>
          <w:rtl w:val="0"/>
        </w:rPr>
        <w:t xml:space="preserve">LAYER 2: 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18"/>
                <w:szCs w:val="18"/>
                <w:rtl w:val="0"/>
              </w:rPr>
              <w:t xml:space="preserve">DO</w:t>
            </w:r>
            <w:r>
              <w:rPr>
                <w:rtl w:val="0"/>
                <w:sz w:val="18"/>
                <w:szCs w:val="18"/>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18"/>
                <w:szCs w:val="18"/>
                <w:rtl w:val="0"/>
              </w:rPr>
              <w:t xml:space="preserve">Discourse Organization</w:t>
            </w:r>
            <w:r>
              <w:rPr>
                <w:rtl w:val="0"/>
                <w:sz w:val="18"/>
                <w:szCs w:val="18"/>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18"/>
                <w:szCs w:val="18"/>
                <w:rtl w:val="0"/>
              </w:rPr>
              <w:t xml:space="preserve">Structures text or guides reader expectations.</w:t>
            </w:r>
            <w:r>
              <w:rPr>
                <w:rtl w:val="0"/>
                <w:sz w:val="18"/>
                <w:szCs w:val="18"/>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should be noted that</w:t>
            </w:r>
            <w:r>
              <w:rPr>
                <w:rFonts w:ascii="Georgia" w:cs="Georgia" w:eastAsia="Georgia" w:hAnsi="Georgia"/>
                <w:b w:val="0"/>
                <w:bCs w:val="0"/>
                <w:i w:val="0"/>
                <w:iCs w:val="0"/>
                <w:color w:val="000000"/>
                <w:sz w:val="18"/>
                <w:szCs w:val="18"/>
                <w:rtl w:val="0"/>
              </w:rPr>
              <w:t xml:space="preserve">. </w:t>
            </w: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bl>
    <w:p w:rsidR="00000000" w:rsidDel="00000000" w:rsidP="00000000" w:rsidRDefault="00000000" w:rsidRPr="00000000" w14:paraId="000001EA">
      <w:pPr>
        <w:keepNext w:val="1"/>
        <w:spacing w:before="240" w:after="0" w:line="48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val="1"/>
          <w:tblHeader w:val="0"/>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val="1"/>
          <w:tblHeader w:val="0"/>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val="1"/>
          <w:tblHeader w:val="0"/>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val="1"/>
          <w:tblHeader w:val="0"/>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val="1"/>
          <w:tblHeader w:val="0"/>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val="1"/>
          <w:tblHeader w:val="0"/>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val="1"/>
          <w:tblHeader w:val="0"/>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val="1"/>
          <w:tblHeader w:val="0"/>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240" w:after="0" w:line="48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val="1"/>
          <w:tblHeader w:val="0"/>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val="1"/>
          <w:tblHeader w:val="0"/>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val="1"/>
          <w:tblHeader w:val="0"/>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val="1"/>
          <w:tblHeader w:val="0"/>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240" w:after="0" w:line="480" w:lineRule="auto"/>
        <w:jc w:val="left"/>
        <w:rPr/>
      </w:pPr>
      <w:r>
        <w:rPr>
          <w:rFonts w:ascii="Georgia" w:cs="Georgia" w:eastAsia="Georgia" w:hAnsi="Georgia"/>
          <w:b w:val="1"/>
          <w:bCs w:val="1"/>
          <w:i w:val="0"/>
          <w:iCs w:val="0"/>
          <w:sz w:val="24"/>
          <w:szCs w:val="24"/>
          <w:rtl w:val="0"/>
        </w:rPr>
        <w:t xml:space="preserve">LAYER 3 (OPTIONAL): UNHEDGED ASSERTION SITES (NEUTRAL GREY)</w:t>
      </w:r>
      <w:r>
        <w:rPr>
          <w:rtl w:val="0"/>
        </w:rPr>
      </w:r>
    </w:p>
    <w:p w:rsidR="00000000" w:rsidDel="00000000" w:rsidP="00000000" w:rsidRDefault="00000000" w:rsidRPr="00000000" w14:paraId="00000221">
      <w:pPr>
        <w:keepNext w:val="1"/>
        <w:keepLines w:val="1"/>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Marks claim-bearing clauses stated directly and confidently without a hedge. Reverse test: if a hedge could be inserted without changing the facts, the clause is markable. Procedural statements are never markable. Example: </w:t>
      </w:r>
      <w:r>
        <w:rPr>
          <w:rFonts w:ascii="Georgia" w:cs="Georgia" w:eastAsia="Georgia" w:hAnsi="Georgia"/>
          <w:b w:val="0"/>
          <w:bCs w:val="0"/>
          <w:i w:val="1"/>
          <w:iCs w:val="1"/>
          <w:color w:val="000000"/>
          <w:sz w:val="22"/>
          <w:szCs w:val="22"/>
          <w:rtl w:val="0"/>
        </w:rPr>
        <w:t xml:space="preserve">“Results showed X”</w:t>
      </w:r>
      <w:r>
        <w:rPr>
          <w:rFonts w:ascii="Georgia" w:cs="Georgia" w:eastAsia="Georgia" w:hAnsi="Georgia"/>
          <w:b w:val="0"/>
          <w:bCs w:val="0"/>
          <w:i w:val="0"/>
          <w:iCs w:val="0"/>
          <w:color w:val="000000"/>
          <w:sz w:val="22"/>
          <w:szCs w:val="22"/>
          <w:rtl w:val="0"/>
        </w:rPr>
        <w:t xml:space="preserve"> could take a hedge (</w:t>
      </w:r>
      <w:r>
        <w:rPr>
          <w:rFonts w:ascii="Georgia" w:cs="Georgia" w:eastAsia="Georgia" w:hAnsi="Georgia"/>
          <w:b w:val="0"/>
          <w:bCs w:val="0"/>
          <w:i w:val="1"/>
          <w:iCs w:val="1"/>
          <w:color w:val="000000"/>
          <w:sz w:val="22"/>
          <w:szCs w:val="22"/>
          <w:rtl w:val="0"/>
        </w:rPr>
        <w:t xml:space="preserve">“Results suggested X”</w:t>
      </w:r>
      <w:r>
        <w:rPr>
          <w:rFonts w:ascii="Georgia" w:cs="Georgia" w:eastAsia="Georgia" w:hAnsi="Georgia"/>
          <w:b w:val="0"/>
          <w:bCs w:val="0"/>
          <w:i w:val="0"/>
          <w:iCs w:val="0"/>
          <w:color w:val="000000"/>
          <w:sz w:val="22"/>
          <w:szCs w:val="22"/>
          <w:rtl w:val="0"/>
        </w:rPr>
        <w:t xml:space="preserve">) without changing the underlying finding, so it is markable.</w:t>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18"/>
                <w:szCs w:val="18"/>
                <w:rtl w:val="0"/>
              </w:rPr>
              <w:t xml:space="preserve">Result Claim [R]</w:t>
            </w:r>
            <w:r>
              <w:rPr>
                <w:rtl w:val="0"/>
                <w:sz w:val="18"/>
                <w:szCs w:val="18"/>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18"/>
                <w:szCs w:val="18"/>
                <w:rtl w:val="0"/>
              </w:rPr>
              <w:t xml:space="preserve">A finding stated as settled fact.</w:t>
            </w:r>
            <w:r>
              <w:rPr>
                <w:rtl w:val="0"/>
                <w:sz w:val="18"/>
                <w:szCs w:val="18"/>
                <w:rFonts w:ascii="Georgia" w:hAnsi="Georgia"/>
              </w:rPr>
            </w:r>
          </w:p>
        </w:tc>
        <w:tc>
          <w:tcPr/>
          <w:p w:rsidR="00000000" w:rsidDel="00000000" w:rsidP="00000000" w:rsidRDefault="00000000" w:rsidRPr="00000000" w14:paraId="00000229">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000000"/>
                <w:sz w:val="18"/>
                <w:szCs w:val="18"/>
                <w:shd w:fill="bfbfbf" w:val="clear"/>
                <w:rtl w:val="0"/>
              </w:rPr>
              <w:t xml:space="preserve">Results showed</w:t>
            </w:r>
            <w:r>
              <w:rPr>
                <w:rFonts w:ascii="Georgia" w:cs="Georgia" w:eastAsia="Georgia" w:hAnsi="Georgia"/>
                <w:b w:val="0"/>
                <w:bCs w:val="0"/>
                <w:i w:val="0"/>
                <w:iCs w:val="0"/>
                <w:color w:val="000000"/>
                <w:sz w:val="18"/>
                <w:szCs w:val="18"/>
                <w:rtl w:val="0"/>
              </w:rPr>
              <w:t xml:space="preserve"> that all shrimp farms were free of the disease.”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18"/>
                <w:szCs w:val="18"/>
                <w:rtl w:val="0"/>
              </w:rPr>
              <w:t xml:space="preserve">A broader inference beyond the data.</w:t>
            </w:r>
            <w:r>
              <w:rPr>
                <w:rtl w:val="0"/>
                <w:sz w:val="18"/>
                <w:szCs w:val="18"/>
                <w:rFonts w:ascii="Georgia" w:hAnsi="Georgia"/>
              </w:rPr>
            </w:r>
          </w:p>
        </w:tc>
        <w:tc>
          <w:tcPr/>
          <w:p w:rsidR="00000000" w:rsidDel="00000000" w:rsidP="00000000" w:rsidRDefault="00000000" w:rsidRPr="00000000" w14:paraId="0000022D">
            <w:pPr>
              <w:spacing w:before="0" w:after="0" w:line="240" w:lineRule="auto"/>
              <w:jc w:val="both"/>
              <w:rPr/>
            </w:pPr>
            <w:r>
              <w:rPr>
                <w:rFonts w:ascii="Georgia" w:cs="Georgia" w:eastAsia="Georgia" w:hAnsi="Georgia"/>
                <w:b w:val="0"/>
                <w:bCs w:val="0"/>
                <w:i w:val="0"/>
                <w:iCs w:val="0"/>
                <w:color w:val="000000"/>
                <w:sz w:val="18"/>
                <w:szCs w:val="18"/>
                <w:rtl w:val="0"/>
              </w:rPr>
              <w:t xml:space="preserve">“This led to the </w:t>
            </w:r>
            <w:r>
              <w:rPr>
                <w:rFonts w:ascii="Georgia" w:cs="Georgia" w:eastAsia="Georgia" w:hAnsi="Georgia"/>
                <w:b w:val="1"/>
                <w:bCs w:val="1"/>
                <w:strike w:val="0"/>
                <w:color w:val="000000"/>
                <w:sz w:val="18"/>
                <w:szCs w:val="18"/>
                <w:shd w:fill="bfbfbf" w:val="clear"/>
                <w:rtl w:val="0"/>
              </w:rPr>
              <w:t xml:space="preserve">conclusion that</w:t>
            </w:r>
            <w:r>
              <w:rPr>
                <w:rFonts w:ascii="Georgia" w:cs="Georgia" w:eastAsia="Georgia" w:hAnsi="Georgia"/>
                <w:b w:val="0"/>
                <w:bCs w:val="0"/>
                <w:i w:val="0"/>
                <w:iCs w:val="0"/>
                <w:color w:val="000000"/>
                <w:sz w:val="18"/>
                <w:szCs w:val="18"/>
                <w:rtl w:val="0"/>
              </w:rPr>
              <w:t xml:space="preserve"> all farms were free of it.”</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18"/>
                <w:szCs w:val="18"/>
                <w:rtl w:val="0"/>
              </w:rPr>
              <w:t xml:space="preserve">A cause and effect link stated as established.</w:t>
            </w:r>
            <w:r>
              <w:rPr>
                <w:rtl w:val="0"/>
                <w:sz w:val="18"/>
                <w:szCs w:val="18"/>
                <w:rFonts w:ascii="Georgia" w:hAnsi="Georgia"/>
              </w:rPr>
            </w:r>
          </w:p>
        </w:tc>
        <w:tc>
          <w:tcPr/>
          <w:p w:rsidR="00000000" w:rsidDel="00000000" w:rsidP="00000000" w:rsidRDefault="00000000" w:rsidRPr="00000000" w14:paraId="00000231">
            <w:pPr>
              <w:spacing w:before="0" w:after="0" w:line="240" w:lineRule="auto"/>
              <w:jc w:val="both"/>
              <w:rPr/>
            </w:pPr>
            <w:r>
              <w:rPr>
                <w:rFonts w:ascii="Georgia" w:cs="Georgia" w:eastAsia="Georgia" w:hAnsi="Georgia"/>
                <w:b w:val="0"/>
                <w:bCs w:val="0"/>
                <w:i w:val="0"/>
                <w:iCs w:val="0"/>
                <w:color w:val="000000"/>
                <w:sz w:val="18"/>
                <w:szCs w:val="18"/>
                <w:rtl w:val="0"/>
              </w:rPr>
              <w:t xml:space="preserve">“Extracts </w:t>
            </w:r>
            <w:r>
              <w:rPr>
                <w:rFonts w:ascii="Georgia" w:cs="Georgia" w:eastAsia="Georgia" w:hAnsi="Georgia"/>
                <w:b w:val="1"/>
                <w:bCs w:val="1"/>
                <w:strike w:val="0"/>
                <w:color w:val="000000"/>
                <w:sz w:val="18"/>
                <w:szCs w:val="18"/>
                <w:shd w:fill="bfbfbf" w:val="clear"/>
                <w:rtl w:val="0"/>
              </w:rPr>
              <w:t xml:space="preserve">produce</w:t>
            </w:r>
            <w:r>
              <w:rPr>
                <w:rFonts w:ascii="Georgia" w:cs="Georgia" w:eastAsia="Georgia" w:hAnsi="Georgia"/>
                <w:b w:val="0"/>
                <w:bCs w:val="0"/>
                <w:i w:val="0"/>
                <w:iCs w:val="0"/>
                <w:color w:val="000000"/>
                <w:sz w:val="18"/>
                <w:szCs w:val="18"/>
                <w:rtl w:val="0"/>
              </w:rPr>
              <w:t xml:space="preserve"> comparable staining because they contain similar compounds.”</w:t>
            </w:r>
            <w:r>
              <w:rPr>
                <w:rtl w:val="0"/>
                <w:sz w:val="18"/>
                <w:szCs w:val="18"/>
                <w:rFonts w:ascii="Georgia" w:hAnsi="Georgia"/>
              </w:rPr>
            </w:r>
          </w:p>
        </w:tc>
      </w:tr>
    </w:tbl>
    <w:p w:rsidR="00000000" w:rsidDel="00000000" w:rsidP="00000000" w:rsidRDefault="00000000" w:rsidRPr="00000000" w14:paraId="0000027B">
      <w:pPr>
        <w:keepNext w:val="1"/>
        <w:keepLines w:val="1"/>
        <w:pageBreakBefore w:val="1"/>
        <w:spacing w:before="240" w:after="0" w:line="480" w:lineRule="auto"/>
        <w:jc w:val="left"/>
        <w:rPr/>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left"/>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0" w:after="0" w:line="480" w:lineRule="auto"/>
        <w:jc w:val="left"/>
        <w:rPr/>
      </w:pPr>
      <w:r>
        <w:rPr>
          <w:i w:val="1"/>
          <w:iCs w:val="1"/>
          <w:sz w:val="24"/>
          <w:szCs w:val="24"/>
          <w:rtl w:val="0"/>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Brgy. San Roque, Magalang, Pampanga.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Sitio Pitabacan, San Ildefonso, Magalang, Pampanga.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left"/>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keepLines w:val="1"/>
        <w:spacing w:before="240" w:after="0" w:line="480" w:lineRule="auto"/>
        <w:jc w:val="left"/>
        <w:rPr/>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cs="Georgia" w:eastAsia="Georgia" w:hAnsi="Georgia"/>
          <w:b w:val="0"/>
          <w:bCs w:val="0"/>
          <w:i w:val="0"/>
          <w:iCs w:val="0"/>
          <w:sz w:val="22"/>
          <w:szCs w:val="22"/>
          <w:rtl w:val="0"/>
        </w:rPr>
        <w:t xml:space="preserve">This appendix presents the 60 abstracts with all coding marks applied. Layer 1 = color highlight on hedge tokens (blue = Modal Verbs, red = Lexical Hedges, yellow = Adverbial Hedges, green = Clause-Level Hedges). Layer 2 = function label in colored text (EC = orange, P = purple, DO = teal). False positives = strikethrough + reason code in grey. Layer 3 (unhedged sites) = grey highlight + [R]/[G]/[C] bracket.</w:t>
      </w:r>
      <w:r>
        <w:rPr>
          <w:rtl w:val="0"/>
        </w:rPr>
      </w:r>
    </w:p>
    <w:p w:rsidR="00000000" w:rsidDel="00000000" w:rsidP="00000000" w:rsidRDefault="00000000" w:rsidRPr="00000000" w14:paraId="0000029F">
      <w:pPr>
        <w:spacing w:before="0" w:after="0" w:line="480" w:lineRule="auto"/>
        <w:jc w:val="center"/>
        <w:rPr/>
      </w:pPr>
      <w:r>
        <w:rPr>
          <w:rFonts w:ascii="Georgia" w:cs="Georgia" w:eastAsia="Georgia" w:hAnsi="Georgia"/>
          <w:b w:val="1"/>
          <w:bCs w:val="1"/>
          <w:i w:val="0"/>
          <w:iCs w:val="0"/>
          <w:sz w:val="24"/>
          <w:szCs w:val="24"/>
          <w:rtl w:val="0"/>
        </w:rPr>
        <w:t xml:space="preserve">Biology (B1–B20)</w:t>
      </w:r>
      <w:r>
        <w:rPr>
          <w:rtl w:val="0"/>
        </w:rPr>
      </w:r>
    </w:p>
    <w:p w:rsidR="00000000" w:rsidDel="00000000" w:rsidP="00000000" w:rsidRDefault="00000000" w:rsidRPr="00000000" w14:paraId="000002A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cs="Georgia" w:eastAsia="Georgia" w:hAnsi="Georgia"/>
          <w:b w:val="0"/>
          <w:bCs w:val="0"/>
          <w:i w:val="0"/>
          <w:iCs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Bacillus subtilis BIOTECH 1679 was assessed under greenhouse conditions. Results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Caudex" w:cs="Caudex" w:eastAsia="Caudex" w:hAnsi="Caudex"/>
          <w:b w:val="0"/>
          <w:bCs w:val="0"/>
          <w:i w:val="0"/>
          <w:iCs w:val="0"/>
          <w:color w:val="000000"/>
          <w:sz w:val="22"/>
          <w:szCs w:val="22"/>
          <w:rtl w:val="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ungsuh" w:cs="Gungsuh" w:eastAsia="Gungsuh" w:hAnsi="Gungsuh"/>
          <w:b w:val="0"/>
          <w:bCs w:val="0"/>
          <w:i w:val="0"/>
          <w:iCs w:val="0"/>
          <w:color w:val="000000"/>
          <w:sz w:val="22"/>
          <w:szCs w:val="22"/>
          <w:rtl w:val="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 subtilis as a sustainable solution for managing onion supply demands, contributing to eco-friendly and alternative strategies in agriculture from local to global use.</w:t>
      </w:r>
      <w:r>
        <w:rPr>
          <w:rtl w:val="0"/>
        </w:rPr>
      </w:r>
    </w:p>
    <w:p w:rsidR="00000000" w:rsidDel="00000000" w:rsidP="00000000" w:rsidRDefault="00000000" w:rsidRPr="00000000" w14:paraId="000002A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the zone of inhibition in the evaluation of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Balitbitan on Mueller Hinton Agar. The treatment evaluated as follows: T1 (Balitbitan extract in Methanol), T2 (Balitbitan extract in Hexane) and T3 (Balitbitan extract in DCM). The result of antibacterial testing </w:t>
      </w:r>
      <w:r>
        <w:rPr>
          <w:rFonts w:ascii="Georgia" w:cs="Georgia" w:eastAsia="Georgia" w:hAnsi="Georgia"/>
          <w:b w:val="1"/>
          <w:bCs w:val="1"/>
          <w:strike w:val="0"/>
          <w:color w:val="000000"/>
          <w:sz w:val="22"/>
          <w:szCs w:val="22"/>
          <w:shd w:fill="bfbfbf" w:val="clear"/>
          <w:rtl w:val="0"/>
        </w:rPr>
        <w:t xml:space="preserve">revealed that the Partial Fraction of Balitbitan (Cynometra ramiflora) did not possess the property to inhibit the growth of Staphylococcus aureus and Escherichia coli</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There was no zone of inhibition when treated with the partial fraction of Balitbitan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A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cs="Georgia" w:eastAsia="Georgia" w:hAnsi="Georgia"/>
          <w:b w:val="0"/>
          <w:bCs w:val="0"/>
          <w:i w:val="0"/>
          <w:iCs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Sitio Cananaoan,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Pr>
          <w:rtl w:val="0"/>
        </w:rPr>
      </w:r>
    </w:p>
    <w:p w:rsidR="00000000" w:rsidDel="00000000" w:rsidP="00000000" w:rsidRDefault="00000000" w:rsidRPr="00000000" w14:paraId="000002A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acute toxicity and antitussive activity of Mimosa pudica (Makahiya) ethanolic extract in ICR mice to assess its safety and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Mimosa pudica has promising antitussive properties and a wide safety margin, supporting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accessible herbal alternative for managing cough. The presence of bioactive compounds such as flavonoids and saponins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its therapeutic effects. Further studies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confirm its long-term safety, refine dosing, and better understand its mechanisms of action.</w:t>
      </w:r>
      <w:r>
        <w:rPr>
          <w:rtl w:val="0"/>
        </w:rPr>
      </w:r>
    </w:p>
    <w:p w:rsidR="00000000" w:rsidDel="00000000" w:rsidP="00000000" w:rsidRDefault="00000000" w:rsidRPr="00000000" w14:paraId="000002A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cs="Georgia" w:eastAsia="Georgia" w:hAnsi="Georgia"/>
          <w:b w:val="0"/>
          <w:bCs w:val="0"/>
          <w:i w:val="0"/>
          <w:iCs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antioxidant and antibacterial sources.</w:t>
      </w:r>
      <w:r>
        <w:rPr>
          <w:rtl w:val="0"/>
        </w:rPr>
      </w:r>
    </w:p>
    <w:p w:rsidR="00000000" w:rsidDel="00000000" w:rsidP="00000000" w:rsidRDefault="00000000" w:rsidRPr="00000000" w14:paraId="000002A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would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be on developing and optimizing eco-bricks using a mixture of SUPs and UCO developed through trial and error. SUPs recovered from various donors from the Magalang Public Market, Pampanga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Pr>
          <w:rFonts w:ascii="Georgia" w:cs="Georgia" w:eastAsia="Georgia" w:hAnsi="Georgia"/>
          <w:b w:val="1"/>
          <w:bCs w:val="1"/>
          <w:strike w:val="0"/>
          <w:color w:val="000000"/>
          <w:sz w:val="22"/>
          <w:szCs w:val="22"/>
          <w:shd w:fill="bfbfbf" w:val="clear"/>
          <w:rtl w:val="0"/>
        </w:rPr>
        <w:t xml:space="preserve">revealed that the eco-bricks from all treatments were significantly damaged at the height of one meter, making them a weak, unsuitable material to use in building walkways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This study is essential for getting insights into eco-brick manufacture because the workability of SUPs and UCOs as raw materials is proven. </w:t>
      </w:r>
      <w:r>
        <w:rPr>
          <w:rFonts w:ascii="Georgia" w:cs="Georgia" w:eastAsia="Georgia" w:hAnsi="Georgia"/>
          <w:b w:val="1"/>
          <w:bCs w:val="1"/>
          <w:strike w:val="0"/>
          <w:color w:val="000000"/>
          <w:sz w:val="22"/>
          <w:szCs w:val="22"/>
          <w:shd w:fill="bfbfbf" w:val="clear"/>
          <w:rtl w:val="0"/>
        </w:rPr>
        <w:t xml:space="preserve">The research findings do not apply to buildings</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Therefore, further research </w:t>
      </w:r>
      <w:r>
        <w:rPr>
          <w:rFonts w:ascii="Georgia" w:cs="Georgia" w:eastAsia="Georgia" w:hAnsi="Georgia"/>
          <w:b w:val="1"/>
          <w:bCs w:val="1"/>
          <w:strike w:val="1"/>
          <w:color w:val="000000"/>
          <w:sz w:val="22"/>
          <w:szCs w:val="22"/>
          <w:rtl w:val="0"/>
        </w:rPr>
        <w:t xml:space="preserve">will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aid in underlining the importance of optimizing the ingredient ratios to acquire desirable quality eco-bricks for sustainable construction applications.</w:t>
      </w:r>
      <w:r>
        <w:rPr>
          <w:rtl w:val="0"/>
        </w:rPr>
      </w:r>
    </w:p>
    <w:p w:rsidR="00000000" w:rsidDel="00000000" w:rsidP="00000000" w:rsidRDefault="00000000" w:rsidRPr="00000000" w14:paraId="000002A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generally</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cs="Georgia" w:eastAsia="Georgia" w:hAnsi="Georgia"/>
          <w:b w:val="1"/>
          <w:bCs w:val="1"/>
          <w:strike w:val="0"/>
          <w:color w:val="ffffff"/>
          <w:sz w:val="22"/>
          <w:szCs w:val="22"/>
          <w:highlight w:val="red"/>
          <w:rtl w:val="0"/>
        </w:rPr>
        <w:t xml:space="preserve">inferring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such observation was induced by the Z. talanai-infused nanozeolite pellet suspension. Hence, the biosynthesis of Z. talanai-infused nanozeolite pellets is feasible and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affect the overall development of D. rerio embryos.</w:t>
      </w:r>
      <w:r>
        <w:rPr>
          <w:rtl w:val="0"/>
        </w:rPr>
      </w:r>
    </w:p>
    <w:p w:rsidR="00000000" w:rsidDel="00000000" w:rsidP="00000000" w:rsidRDefault="00000000" w:rsidRPr="00000000" w14:paraId="000002B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cs="Georgia" w:eastAsia="Georgia" w:hAnsi="Georgia"/>
          <w:b w:val="0"/>
          <w:bCs w:val="0"/>
          <w:i w:val="0"/>
          <w:iCs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control bacterial infections caused by multi-drug resistant pathogens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considered.</w:t>
      </w:r>
      <w:r>
        <w:rPr>
          <w:rtl w:val="0"/>
        </w:rPr>
      </w:r>
    </w:p>
    <w:p w:rsidR="00000000" w:rsidDel="00000000" w:rsidP="00000000" w:rsidRDefault="00000000" w:rsidRPr="00000000" w14:paraId="000002B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cs="Georgia" w:eastAsia="Georgia" w:hAnsi="Georgia"/>
          <w:b w:val="0"/>
          <w:bCs w:val="0"/>
          <w:i w:val="0"/>
          <w:iCs w:val="0"/>
          <w:color w:val="000000"/>
          <w:sz w:val="22"/>
          <w:szCs w:val="22"/>
          <w:rtl w:val="0"/>
        </w:rPr>
        <w:t xml:space="preserve">This study aimed to identify the histoprotective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cs="Georgia" w:eastAsia="Georgia" w:hAnsi="Georgia"/>
          <w:b w:val="1"/>
          <w:bCs w:val="1"/>
          <w:strike w:val="0"/>
          <w:color w:val="000000"/>
          <w:sz w:val="22"/>
          <w:szCs w:val="22"/>
          <w:shd w:fill="bfbfbf" w:val="clear"/>
          <w:rtl w:val="0"/>
        </w:rPr>
        <w:t xml:space="preserve">All mice treated with pure leaf extract of Z. talanai, monosodium glutamate, distilled water and L-Taurine showed a significant effect (lesions / aberrations) to the cytoarchitecture of liver and kidney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cs="Georgia" w:eastAsia="Georgia" w:hAnsi="Georgia"/>
          <w:b w:val="1"/>
          <w:bCs w:val="1"/>
          <w:strike w:val="0"/>
          <w:color w:val="000000"/>
          <w:sz w:val="22"/>
          <w:szCs w:val="22"/>
          <w:shd w:fill="bfbfbf" w:val="clear"/>
          <w:rtl w:val="0"/>
        </w:rPr>
        <w:t xml:space="preserve">pure MSG and pure ethanolic leaf extract of Z. talanai caused the lesions / aberrations to the liver and kidney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Pr>
          <w:rtl w:val="0"/>
        </w:rPr>
      </w:r>
    </w:p>
    <w:p w:rsidR="00000000" w:rsidDel="00000000" w:rsidP="00000000" w:rsidRDefault="00000000" w:rsidRPr="00000000" w14:paraId="000002B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cs="Georgia" w:eastAsia="Georgia" w:hAnsi="Georgia"/>
          <w:b w:val="0"/>
          <w:bCs w:val="0"/>
          <w:i w:val="0"/>
          <w:iCs w:val="0"/>
          <w:color w:val="000000"/>
          <w:sz w:val="22"/>
          <w:szCs w:val="22"/>
          <w:rtl w:val="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established to avoid the high danger of heavy metal contamination. Certain local habits, such as waste dumping and other communal activities,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the spread of heavy metals. As a result, some community or local government-adopted measures are </w:t>
      </w:r>
      <w:r>
        <w:rPr>
          <w:rFonts w:ascii="Georgia" w:cs="Georgia" w:eastAsia="Georgia" w:hAnsi="Georgia"/>
          <w:b w:val="1"/>
          <w:bCs w:val="1"/>
          <w:strike w:val="1"/>
          <w:color w:val="000000"/>
          <w:sz w:val="22"/>
          <w:szCs w:val="22"/>
          <w:rtl w:val="0"/>
        </w:rPr>
        <w:t xml:space="preserve">proposed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These precautions are intended to prevent heavy metal contamination, particularly in the river system and the aquatic life in the area.</w:t>
      </w:r>
      <w:r>
        <w:rPr>
          <w:rtl w:val="0"/>
        </w:rPr>
      </w:r>
    </w:p>
    <w:p w:rsidR="00000000" w:rsidDel="00000000" w:rsidP="00000000" w:rsidRDefault="00000000" w:rsidRPr="00000000" w14:paraId="000002B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B11  ·  256 words  ·  0 hedges  ·  0.0 per 100 words</w:t>
      </w:r>
      <w:r>
        <w:rPr>
          <w:rtl w:val="0"/>
        </w:rPr>
      </w:r>
    </w:p>
    <w:p w:rsidR="00000000" w:rsidDel="00000000" w:rsidP="00000000" w:rsidRDefault="00000000" w:rsidRPr="00000000" w14:paraId="000002B8">
      <w:pPr>
        <w:spacing w:before="0" w:after="0" w:line="480" w:lineRule="auto"/>
        <w:jc w:val="both"/>
        <w:rPr/>
      </w:pPr>
      <w:r>
        <w:rPr>
          <w:rFonts w:ascii="Georgia" w:cs="Georgia" w:eastAsia="Georgia" w:hAnsi="Georgia"/>
          <w:b w:val="0"/>
          <w:bCs w:val="0"/>
          <w:i w:val="0"/>
          <w:iCs w:val="0"/>
          <w:color w:val="000000"/>
          <w:sz w:val="22"/>
          <w:szCs w:val="22"/>
          <w:rtl w:val="0"/>
        </w:rPr>
        <w:t xml:space="preserve">Currently, Central Luzon together with Calabarzon are regions that hold a pivotal position in the Philippines’ fishing industry. However, due to their adjacency to Manila Bay, which is highly polluted due to anthropogenic activities, these regions become vulnerable to bacterial infestation. Mycobacteriosis is a significant concern in cultivated milkfish, impacting both fish health and aquaculture productivity is reported in Nueva Ecija and in parts of Central Luzon. Hence, this study aimed to investigate the presence of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mycobacterial infections in cultivated milkfish collected from fish-supplying areas of Pampanga. Using the Ziehl-Neelsen stain for acid-fast bacteria detection, along with biochemical testing methods such as the catalase test and assessing growth in the presence of the Salt Tolerance Test, </w:t>
      </w:r>
      <w:r>
        <w:rPr>
          <w:rFonts w:ascii="Georgia" w:cs="Georgia" w:eastAsia="Georgia" w:hAnsi="Georgia"/>
          <w:b w:val="1"/>
          <w:bCs w:val="1"/>
          <w:strike w:val="0"/>
          <w:color w:val="000000"/>
          <w:sz w:val="22"/>
          <w:szCs w:val="22"/>
          <w:shd w:fill="bfbfbf" w:val="clear"/>
          <w:rtl w:val="0"/>
        </w:rPr>
        <w:t xml:space="preserve">revealed the presence of acid-fast bacteria in the tissues of infected milkfish, confirming the occurrence of mycobacteriosis infection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w:t>
      </w:r>
      <w:r>
        <w:rPr>
          <w:rFonts w:ascii="Georgia" w:cs="Georgia" w:eastAsia="Georgia" w:hAnsi="Georgia"/>
          <w:b w:val="1"/>
          <w:bCs w:val="1"/>
          <w:strike w:val="0"/>
          <w:color w:val="000000"/>
          <w:sz w:val="22"/>
          <w:szCs w:val="22"/>
          <w:shd w:fill="bfbfbf" w:val="clear"/>
          <w:rtl w:val="0"/>
        </w:rPr>
        <w:t xml:space="preserve">the combination of Ziehl-Neelsen staining, biochemical testing like the catalase test, and evaluating growth in the presence of the Salt Tolerance Test provides a comprehensive approach for diagnosing and studying mycobacteriosis in cultivated milkfish</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offering insights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guide effective management strategies to control the spread of this disease in aquaculture system.</w:t>
      </w:r>
      <w:r>
        <w:rPr>
          <w:rtl w:val="0"/>
        </w:rPr>
      </w:r>
    </w:p>
    <w:p w:rsidR="00000000" w:rsidDel="00000000" w:rsidP="00000000" w:rsidRDefault="00000000" w:rsidRPr="00000000" w14:paraId="000002B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B12  ·  149 words  ·  0 hedges  ·  0.0 per 100 words</w:t>
      </w:r>
      <w:r>
        <w:rPr>
          <w:rtl w:val="0"/>
        </w:rPr>
      </w:r>
    </w:p>
    <w:p w:rsidR="00000000" w:rsidDel="00000000" w:rsidP="00000000" w:rsidRDefault="00000000" w:rsidRPr="00000000" w14:paraId="000002BA">
      <w:pPr>
        <w:spacing w:before="0" w:after="0" w:line="480" w:lineRule="auto"/>
        <w:jc w:val="both"/>
        <w:rPr/>
      </w:pPr>
      <w:r>
        <w:rPr>
          <w:rFonts w:ascii="Georgia" w:cs="Georgia" w:eastAsia="Georgia" w:hAnsi="Georgia"/>
          <w:b w:val="0"/>
          <w:bCs w:val="0"/>
          <w:i w:val="0"/>
          <w:iCs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quorum quenching (QQ) activities. In this study, lactic acid bacteria were obtained from a parallel study, and the antimicrobial activity of the top 10 isolates was evaluated through spectrophotometric and turbidimetric analyses for the initial screening of gut isolates. </w:t>
      </w:r>
      <w:r>
        <w:rPr>
          <w:rFonts w:ascii="Georgia" w:cs="Georgia" w:eastAsia="Georgia" w:hAnsi="Georgia"/>
          <w:b w:val="1"/>
          <w:bCs w:val="1"/>
          <w:strike w:val="0"/>
          <w:color w:val="000000"/>
          <w:sz w:val="22"/>
          <w:szCs w:val="22"/>
          <w:shd w:fill="bfbfbf" w:val="clear"/>
          <w:rtl w:val="0"/>
        </w:rPr>
        <w:t xml:space="preserve">Nine out of ten isolates exhibit quorum quenching activities by inhibiting the swarming motility of Pseudomonas aeruginosa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metabolic compounds of the isolates were subjected to initial characterization using enzyme and pH neutralization, which revealed that organic acids were responsible for the inhibitory activity. </w:t>
      </w:r>
      <w:r>
        <w:rPr>
          <w:rFonts w:ascii="Georgia" w:cs="Georgia" w:eastAsia="Georgia" w:hAnsi="Georgia"/>
          <w:b w:val="1"/>
          <w:bCs w:val="1"/>
          <w:strike w:val="0"/>
          <w:color w:val="000000"/>
          <w:sz w:val="22"/>
          <w:szCs w:val="22"/>
          <w:shd w:fill="bfbfbf" w:val="clear"/>
          <w:rtl w:val="0"/>
        </w:rPr>
        <w:t xml:space="preserve">The inhibition activity of LAB isolates against the quorum sensing-mediated swarming motility in P. aeruginosa was due to strong antibacterial activity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B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cs="Georgia" w:eastAsia="Georgia" w:hAnsi="Georgia"/>
          <w:b w:val="0"/>
          <w:bCs w:val="0"/>
          <w:i w:val="0"/>
          <w:iCs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its antibacterial property is dose dependent.</w:t>
      </w:r>
      <w:r>
        <w:rPr>
          <w:rtl w:val="0"/>
        </w:rPr>
      </w:r>
    </w:p>
    <w:p w:rsidR="00000000" w:rsidDel="00000000" w:rsidP="00000000" w:rsidRDefault="00000000" w:rsidRPr="00000000" w14:paraId="000002B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cs="Georgia" w:eastAsia="Georgia" w:hAnsi="Georgia"/>
          <w:b w:val="0"/>
          <w:bCs w:val="0"/>
          <w:i w:val="0"/>
          <w:iCs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extraction efficiency favors the highly polar solvents than the non-polar solvents in determining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E. indica against Colletotrichum spp.. The findings of this study attested that this specific type of grass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used as biofungicide agent.</w:t>
      </w:r>
      <w:r>
        <w:rPr>
          <w:rtl w:val="0"/>
        </w:rPr>
      </w:r>
    </w:p>
    <w:p w:rsidR="00000000" w:rsidDel="00000000" w:rsidP="00000000" w:rsidRDefault="00000000" w:rsidRPr="00000000" w14:paraId="000002B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cs="Georgia" w:eastAsia="Georgia" w:hAnsi="Georgia"/>
          <w:b w:val="0"/>
          <w:bCs w:val="0"/>
          <w:i w:val="0"/>
          <w:iCs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variations in thermal stability among the different plate materials.</w:t>
      </w:r>
      <w:r>
        <w:rPr>
          <w:rtl w:val="0"/>
        </w:rPr>
      </w:r>
    </w:p>
    <w:p w:rsidR="00000000" w:rsidDel="00000000" w:rsidP="00000000" w:rsidRDefault="00000000" w:rsidRPr="00000000" w14:paraId="000002C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B16  ·  223 words  ·  4 hedges  ·  1.79 per 100 words</w:t>
      </w:r>
      <w:r>
        <w:rPr>
          <w:rtl w:val="0"/>
        </w:rPr>
      </w:r>
    </w:p>
    <w:p w:rsidR="00000000" w:rsidDel="00000000" w:rsidP="00000000" w:rsidRDefault="00000000" w:rsidRPr="00000000" w14:paraId="000002C2">
      <w:pPr>
        <w:spacing w:before="0" w:after="0" w:line="480" w:lineRule="auto"/>
        <w:jc w:val="both"/>
        <w:rPr/>
      </w:pPr>
      <w:r>
        <w:rPr>
          <w:rFonts w:ascii="Georgia" w:cs="Georgia" w:eastAsia="Georgia" w:hAnsi="Georgia"/>
          <w:b w:val="0"/>
          <w:bCs w:val="0"/>
          <w:i w:val="0"/>
          <w:iCs w:val="0"/>
          <w:color w:val="000000"/>
          <w:sz w:val="22"/>
          <w:szCs w:val="22"/>
          <w:rtl w:val="0"/>
        </w:rPr>
        <w:t xml:space="preserve">Methicillin-resistant Staphylococcus aureus (MRSA) is a common and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severe pathogen that has developed resistance to several types of antibiotics. MRSA bacteria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long on surfaces and objects, including second-hand clothing (SHC). The increasing popularity of SHC or “ukay-ukay” in the Philippines, coupled with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three selected stalls in Sta. Cruz, Magalang, Pampanga.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public health risks associated with the handling and purchasing of second-hand clothing. This study, therefore, underscores the need for proper precautions to mitigate the spread of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harmful bacteria, including MRSA, on second-hand clothing. It highlights the importance of raising awareness among both vendors and consumers about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health risks associated with these garments.</w:t>
      </w:r>
      <w:r>
        <w:rPr>
          <w:rtl w:val="0"/>
        </w:rPr>
      </w:r>
    </w:p>
    <w:p w:rsidR="00000000" w:rsidDel="00000000" w:rsidP="00000000" w:rsidRDefault="00000000" w:rsidRPr="00000000" w14:paraId="000002C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cs="Georgia" w:eastAsia="Georgia" w:hAnsi="Georgia"/>
          <w:b w:val="0"/>
          <w:bCs w:val="0"/>
          <w:i w:val="0"/>
          <w:iCs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by the reduction of DPPH radicals. The TLC-MTT overlay assay showed that the extract exhibits antibacterial activity against S. aureus but was ineffective against E. coli,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selective antibacterial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The findings indicate that P. propinquum fruit ethanolic extract contains bioactive compounds with antioxidant and selective antibacterial properties. Further studies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focus on the isolation and characterization of its active compounds, their mechanisms of action, and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pharmaceutical applications.</w:t>
      </w:r>
      <w:r>
        <w:rPr>
          <w:rtl w:val="0"/>
        </w:rPr>
      </w:r>
    </w:p>
    <w:p w:rsidR="00000000" w:rsidDel="00000000" w:rsidP="00000000" w:rsidRDefault="00000000" w:rsidRPr="00000000" w14:paraId="000002C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Pr>
          <w:rtl w:val="0"/>
        </w:rPr>
      </w:r>
    </w:p>
    <w:p w:rsidR="00000000" w:rsidDel="00000000" w:rsidP="00000000" w:rsidRDefault="00000000" w:rsidRPr="00000000" w14:paraId="000002C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cs="Georgia" w:eastAsia="Georgia" w:hAnsi="Georgia"/>
          <w:b w:val="0"/>
          <w:bCs w:val="0"/>
          <w:i w:val="0"/>
          <w:iCs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Barangay Batang 2nd, 14 visitors in the Batang 2nd Staging Area,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address the </w:t>
      </w:r>
      <w:r>
        <w:rPr>
          <w:rFonts w:ascii="Georgia" w:cs="Georgia" w:eastAsia="Georgia" w:hAnsi="Georgia"/>
          <w:b w:val="1"/>
          <w:bCs w:val="1"/>
          <w:strike w:val="0"/>
          <w:color w:val="ffffff"/>
          <w:sz w:val="22"/>
          <w:szCs w:val="22"/>
          <w:highlight w:val="red"/>
          <w:rtl w:val="0"/>
        </w:rPr>
        <w:t xml:space="preserve">possible</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negative impacts of tourism activities and manage the carrying capacity for sustainable tourism.</w:t>
      </w:r>
      <w:r>
        <w:rPr>
          <w:rtl w:val="0"/>
        </w:rPr>
      </w:r>
    </w:p>
    <w:p w:rsidR="00000000" w:rsidDel="00000000" w:rsidP="00000000" w:rsidRDefault="00000000" w:rsidRPr="00000000" w14:paraId="000002C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cs="Georgia" w:eastAsia="Georgia" w:hAnsi="Georgia"/>
          <w:b w:val="0"/>
          <w:bCs w:val="0"/>
          <w:i w:val="0"/>
          <w:iCs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among the four isolates. The results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fungus had a similar impact on the growth of all four test variables.</w:t>
      </w:r>
      <w:r>
        <w:rPr>
          <w:rtl w:val="0"/>
        </w:rPr>
      </w:r>
    </w:p>
    <w:p w:rsidR="00000000" w:rsidDel="00000000" w:rsidP="00000000" w:rsidRDefault="00000000" w:rsidRPr="00000000" w14:paraId="000002CB">
      <w:pPr>
        <w:spacing w:before="0" w:after="0" w:line="480" w:lineRule="auto"/>
        <w:jc w:val="center"/>
        <w:rPr/>
      </w:pPr>
      <w:r>
        <w:rPr>
          <w:rFonts w:ascii="Georgia" w:cs="Georgia" w:eastAsia="Georgia" w:hAnsi="Georgia"/>
          <w:b w:val="1"/>
          <w:bCs w:val="1"/>
          <w:i w:val="0"/>
          <w:iCs w:val="0"/>
          <w:sz w:val="24"/>
          <w:szCs w:val="24"/>
          <w:rtl w:val="0"/>
        </w:rPr>
        <w:t xml:space="preserve">Veterinary Medicine (VM1–VM20)</w:t>
      </w:r>
      <w:r>
        <w:rPr>
          <w:rtl w:val="0"/>
        </w:rPr>
      </w:r>
    </w:p>
    <w:p w:rsidR="00000000" w:rsidDel="00000000" w:rsidP="00000000" w:rsidRDefault="00000000" w:rsidRPr="00000000" w14:paraId="000002C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cs="Georgia" w:eastAsia="Georgia" w:hAnsi="Georgia"/>
          <w:b w:val="1"/>
          <w:bCs w:val="1"/>
          <w:strike w:val="0"/>
          <w:color w:val="000000"/>
          <w:sz w:val="22"/>
          <w:szCs w:val="22"/>
          <w:shd w:fill="bfbfbf" w:val="clear"/>
          <w:rtl w:val="0"/>
        </w:rPr>
        <w:t xml:space="preserve">T1 revealed that Zoletil® alone is not enough to fully induce Stage 3 anesthesia in zebrafish</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when sodium bicarbonate was added, Stage 3 was achieved, while using only a small amount of Zoletil®</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it was also revealed that 40 g/L of sodium bicarbonate was sufficient to induce Stage 3 anesthesia in zebrafish.</w:t>
      </w:r>
      <w:r>
        <w:rPr>
          <w:rtl w:val="0"/>
        </w:rPr>
      </w:r>
    </w:p>
    <w:p w:rsidR="00000000" w:rsidDel="00000000" w:rsidP="00000000" w:rsidRDefault="00000000" w:rsidRPr="00000000" w14:paraId="000002C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Pr>
          <w:rtl w:val="0"/>
        </w:rPr>
      </w:r>
    </w:p>
    <w:p w:rsidR="00000000" w:rsidDel="00000000" w:rsidP="00000000" w:rsidRDefault="00000000" w:rsidRPr="00000000" w14:paraId="000002D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profiling, occurrence and antibiotic resistance of Escherichia coli and Salmonella spp., in retail chicken eggs sold in Magalang Public Market.. The study aimed to profile handling practices of egg vendors, detect E. coli and Salmonella spp. on retail chicken eggs sold in Magalang Public market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cs="Georgia" w:eastAsia="Georgia" w:hAnsi="Georgia"/>
          <w:b w:val="1"/>
          <w:bCs w:val="1"/>
          <w:strike w:val="0"/>
          <w:color w:val="000000"/>
          <w:sz w:val="22"/>
          <w:szCs w:val="22"/>
          <w:shd w:fill="bfbfbf" w:val="clear"/>
          <w:rtl w:val="0"/>
        </w:rPr>
        <w:t xml:space="preserve">the evaluation of retail egg vendors showed a major issue of reusing the egg trays across vendors which has been strongly linked to bacterial growth on eggshells, yolks and albumen, with p-values of 0.030 and 0.014, respectively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The findings </w:t>
      </w:r>
      <w:r>
        <w:rPr>
          <w:rFonts w:ascii="Georgia" w:cs="Georgia" w:eastAsia="Georgia" w:hAnsi="Georgia"/>
          <w:b w:val="1"/>
          <w:bCs w:val="1"/>
          <w:strike w:val="1"/>
          <w:color w:val="000000"/>
          <w:sz w:val="22"/>
          <w:szCs w:val="22"/>
          <w:rtl w:val="0"/>
        </w:rPr>
        <w:t xml:space="preserve">suggests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for assessment of knowledge, attitudes and practices of retail egg vendors about food safety and regular antimicrobial resistance monitoring on retail eggs.</w:t>
      </w:r>
      <w:r>
        <w:rPr>
          <w:rtl w:val="0"/>
        </w:rPr>
      </w:r>
    </w:p>
    <w:p w:rsidR="00000000" w:rsidDel="00000000" w:rsidP="00000000" w:rsidRDefault="00000000" w:rsidRPr="00000000" w14:paraId="000002D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cs="Georgia" w:eastAsia="Georgia" w:hAnsi="Georgia"/>
          <w:b w:val="0"/>
          <w:bCs w:val="0"/>
          <w:i w:val="0"/>
          <w:iCs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Mexico, Pampanga.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cs="Georgia" w:eastAsia="Georgia" w:hAnsi="Georgia"/>
          <w:b w:val="1"/>
          <w:bCs w:val="1"/>
          <w:strike w:val="0"/>
          <w:color w:val="000000"/>
          <w:sz w:val="22"/>
          <w:szCs w:val="22"/>
          <w:shd w:fill="bfbfbf" w:val="clear"/>
          <w:rtl w:val="0"/>
        </w:rPr>
        <w:t xml:space="preserve">Results indicated that most vendors lacked formal training in milk-handling (100 %) did not use refrigeration, new bottles, or any preservation methods (100%)</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cs="Georgia" w:eastAsia="Georgia" w:hAnsi="Georgia"/>
          <w:b w:val="1"/>
          <w:bCs w:val="1"/>
          <w:strike w:val="1"/>
          <w:color w:val="000000"/>
          <w:sz w:val="22"/>
          <w:szCs w:val="22"/>
          <w:rtl w:val="0"/>
        </w:rPr>
        <w:t xml:space="preserve">suggest</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to improve training, regulation of milk storage, and the enforcement of labeling and sanitation standards to improve public health safety in the milk supply chain.</w:t>
      </w:r>
      <w:r>
        <w:rPr>
          <w:rtl w:val="0"/>
        </w:rPr>
      </w:r>
    </w:p>
    <w:p w:rsidR="00000000" w:rsidDel="00000000" w:rsidP="00000000" w:rsidRDefault="00000000" w:rsidRPr="00000000" w14:paraId="000002D4">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cs="Georgia" w:eastAsia="Georgia" w:hAnsi="Georgia"/>
          <w:b w:val="0"/>
          <w:bCs w:val="0"/>
          <w:i w:val="0"/>
          <w:iCs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M. calabura L. as a source of antifungal agents, warranting further investigation into its therapeutic applications and formulation for dermatophytosis management.</w:t>
      </w:r>
      <w:r>
        <w:rPr>
          <w:rtl w:val="0"/>
        </w:rPr>
      </w:r>
    </w:p>
    <w:p w:rsidR="00000000" w:rsidDel="00000000" w:rsidP="00000000" w:rsidRDefault="00000000" w:rsidRPr="00000000" w14:paraId="000002D6">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cs="Georgia" w:eastAsia="Georgia" w:hAnsi="Georgia"/>
          <w:b w:val="1"/>
          <w:bCs w:val="1"/>
          <w:strike w:val="0"/>
          <w:color w:val="000000"/>
          <w:sz w:val="22"/>
          <w:szCs w:val="22"/>
          <w:shd w:fill="bfbfbf" w:val="clear"/>
          <w:rtl w:val="0"/>
        </w:rPr>
        <w:t xml:space="preserve">mean values for sodium between male and female NZW rabbits were found to be statistically different (p&lt;0.05)</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D8">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cs="Georgia" w:eastAsia="Georgia" w:hAnsi="Georgia"/>
          <w:b w:val="0"/>
          <w:bCs w:val="0"/>
          <w:i w:val="0"/>
          <w:iCs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Angeles City Veterinary Clinic.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Pr>
          <w:rFonts w:ascii="Georgia" w:cs="Georgia" w:eastAsia="Georgia" w:hAnsi="Georgia"/>
          <w:b w:val="1"/>
          <w:bCs w:val="1"/>
          <w:strike w:val="1"/>
          <w:color w:val="000000"/>
          <w:sz w:val="22"/>
          <w:szCs w:val="22"/>
          <w:rtl w:val="0"/>
        </w:rPr>
        <w:t xml:space="preserve">needed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validate these findings and enhance our understanding of heartworm infection in the study area.</w:t>
      </w:r>
      <w:r>
        <w:rPr>
          <w:rtl w:val="0"/>
        </w:rPr>
      </w:r>
    </w:p>
    <w:p w:rsidR="00000000" w:rsidDel="00000000" w:rsidP="00000000" w:rsidRDefault="00000000" w:rsidRPr="00000000" w14:paraId="000002DA">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Pr>
          <w:rtl w:val="0"/>
        </w:rPr>
      </w:r>
    </w:p>
    <w:p w:rsidR="00000000" w:rsidDel="00000000" w:rsidP="00000000" w:rsidRDefault="00000000" w:rsidRPr="00000000" w14:paraId="000002D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VM9  ·  430 words  ·  0 hedges  ·  0.0 per 100 words</w:t>
      </w:r>
      <w:r>
        <w:rPr>
          <w:rtl w:val="0"/>
        </w:rPr>
      </w:r>
    </w:p>
    <w:p w:rsidR="00000000" w:rsidDel="00000000" w:rsidP="00000000" w:rsidRDefault="00000000" w:rsidRPr="00000000" w14:paraId="000002DD">
      <w:pPr>
        <w:spacing w:before="0" w:after="0" w:line="480" w:lineRule="auto"/>
        <w:jc w:val="both"/>
        <w:rPr/>
      </w:pPr>
      <w:r>
        <w:rPr>
          <w:rFonts w:ascii="Georgia" w:cs="Georgia" w:eastAsia="Georgia" w:hAnsi="Georgia"/>
          <w:b w:val="0"/>
          <w:bCs w:val="0"/>
          <w:i w:val="0"/>
          <w:iCs w:val="0"/>
          <w:color w:val="000000"/>
          <w:sz w:val="22"/>
          <w:szCs w:val="22"/>
          <w:rtl w:val="0"/>
        </w:rPr>
        <w:t xml:space="preserve">Plastic pollution has been a long-standing environmental concern due to improper waste management. Its persistence in marine environments, particularly in the form of microplastics, posed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health risks to aquatic species and humans through seafood consumption. This study was conducted to detect microplastics in Whiteleg shrimp (Litopenaeus vannamei) sold at the Magalang Pampanga Market.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w:t>
      </w:r>
      <w:r>
        <w:rPr>
          <w:rFonts w:ascii="Georgia" w:cs="Georgia" w:eastAsia="Georgia" w:hAnsi="Georgia"/>
          <w:b w:val="1"/>
          <w:bCs w:val="1"/>
          <w:strike w:val="0"/>
          <w:color w:val="000000"/>
          <w:sz w:val="22"/>
          <w:szCs w:val="22"/>
          <w:shd w:fill="bfbfbf" w:val="clear"/>
          <w:rtl w:val="0"/>
        </w:rPr>
        <w:t xml:space="preserve">A total of 181 microplastics were detected across all samples, wherein the concentration of microplastics was higher in Treatment 1</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cs="Georgia" w:eastAsia="Georgia" w:hAnsi="Georgia"/>
          <w:b w:val="1"/>
          <w:bCs w:val="1"/>
          <w:strike w:val="1"/>
          <w:color w:val="000000"/>
          <w:sz w:val="22"/>
          <w:szCs w:val="22"/>
          <w:rtl w:val="0"/>
        </w:rPr>
        <w:t xml:space="preserve">recommend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removing the shrimp’s GIT during preparation to avoid ingestion, use fishing gear made from durable or natural materials, regularly maintain and replace worn equipment, and properly dispose of plastics instead of discarding them into water bodies.</w:t>
      </w:r>
      <w:r>
        <w:rPr>
          <w:rtl w:val="0"/>
        </w:rPr>
      </w:r>
    </w:p>
    <w:p w:rsidR="00000000" w:rsidDel="00000000" w:rsidP="00000000" w:rsidRDefault="00000000" w:rsidRPr="00000000" w14:paraId="000002D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cs="Georgia" w:eastAsia="Georgia" w:hAnsi="Georgia"/>
          <w:b w:val="1"/>
          <w:bCs w:val="1"/>
          <w:strike w:val="0"/>
          <w:color w:val="000000"/>
          <w:sz w:val="22"/>
          <w:szCs w:val="22"/>
          <w:shd w:fill="bfbfbf" w:val="clear"/>
          <w:rtl w:val="0"/>
        </w:rPr>
        <w:t xml:space="preserve">In general, lung samples were sensitive to all antibiotics except amoxicillin-clavulanic acid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cs="Georgia" w:eastAsia="Georgia" w:hAnsi="Georgia"/>
          <w:b w:val="1"/>
          <w:bCs w:val="1"/>
          <w:strike w:val="0"/>
          <w:color w:val="000000"/>
          <w:sz w:val="22"/>
          <w:szCs w:val="22"/>
          <w:shd w:fill="bfbfbf" w:val="clear"/>
          <w:rtl w:val="0"/>
        </w:rPr>
        <w:t xml:space="preserve">the data showed that lung and chick samples exhibited marked resistance</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Pr>
          <w:rtl w:val="0"/>
        </w:rPr>
      </w:r>
    </w:p>
    <w:p w:rsidR="00000000" w:rsidDel="00000000" w:rsidP="00000000" w:rsidRDefault="00000000" w:rsidRPr="00000000" w14:paraId="000002E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help determine the overall health of stray cats within the vicinity of Dr. Andres M. Luciano District Hospital, Magalang, Pampanga,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cs="Georgia" w:eastAsia="Georgia" w:hAnsi="Georgia"/>
          <w:b w:val="1"/>
          <w:bCs w:val="1"/>
          <w:strike w:val="1"/>
          <w:color w:val="000000"/>
          <w:sz w:val="22"/>
          <w:szCs w:val="22"/>
          <w:rtl w:val="0"/>
        </w:rPr>
        <w:t xml:space="preserve">possibility</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Pr>
          <w:rtl w:val="0"/>
        </w:rPr>
      </w:r>
    </w:p>
    <w:p w:rsidR="00000000" w:rsidDel="00000000" w:rsidP="00000000" w:rsidRDefault="00000000" w:rsidRPr="00000000" w14:paraId="000002E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cs="Georgia" w:eastAsia="Georgia" w:hAnsi="Georgia"/>
          <w:b w:val="0"/>
          <w:bCs w:val="0"/>
          <w:i w:val="0"/>
          <w:iCs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meat retail stores in selected areas of Magalang, Pampanga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effective in preventing, controlling, and managing the spread of ASF, but it is not conclusive that ASF is not present in the municipality of Magalang. Nevertheless,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Pr>
          <w:rtl w:val="0"/>
        </w:rPr>
      </w:r>
    </w:p>
    <w:p w:rsidR="00000000" w:rsidDel="00000000" w:rsidP="00000000" w:rsidRDefault="00000000" w:rsidRPr="00000000" w14:paraId="000002E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cs="Georgia" w:eastAsia="Georgia" w:hAnsi="Georgia"/>
          <w:b w:val="0"/>
          <w:bCs w:val="0"/>
          <w:i w:val="0"/>
          <w:iCs w:val="0"/>
          <w:color w:val="000000"/>
          <w:sz w:val="22"/>
          <w:szCs w:val="22"/>
          <w:rtl w:val="0"/>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w:t>
      </w:r>
      <w:r>
        <w:rPr>
          <w:rFonts w:ascii="Georgia" w:cs="Georgia" w:eastAsia="Georgia" w:hAnsi="Georgia"/>
          <w:b w:val="1"/>
          <w:bCs w:val="1"/>
          <w:strike w:val="0"/>
          <w:color w:val="000000"/>
          <w:sz w:val="22"/>
          <w:szCs w:val="22"/>
          <w:shd w:fill="bfbfbf" w:val="clear"/>
          <w:rtl w:val="0"/>
        </w:rPr>
        <w:t xml:space="preserve">the differences between the groups were statistically significant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There were variations in the mean antibody titer measured among samples.</w:t>
      </w:r>
      <w:r>
        <w:rPr>
          <w:rtl w:val="0"/>
        </w:rPr>
      </w:r>
    </w:p>
    <w:p w:rsidR="00000000" w:rsidDel="00000000" w:rsidP="00000000" w:rsidRDefault="00000000" w:rsidRPr="00000000" w14:paraId="000002E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cs="Georgia" w:eastAsia="Georgia" w:hAnsi="Georgia"/>
          <w:b w:val="0"/>
          <w:bCs w:val="0"/>
          <w:i w:val="0"/>
          <w:iCs w:val="0"/>
          <w:color w:val="000000"/>
          <w:sz w:val="22"/>
          <w:szCs w:val="22"/>
          <w:rtl w:val="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r>
        <w:rPr>
          <w:rtl w:val="0"/>
        </w:rPr>
      </w:r>
    </w:p>
    <w:p w:rsidR="00000000" w:rsidDel="00000000" w:rsidP="00000000" w:rsidRDefault="00000000" w:rsidRPr="00000000" w14:paraId="000002E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cs="Georgia" w:eastAsia="Georgia" w:hAnsi="Georgia"/>
          <w:b w:val="0"/>
          <w:bCs w:val="0"/>
          <w:i w:val="0"/>
          <w:iCs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Pr>
          <w:rtl w:val="0"/>
        </w:rPr>
      </w:r>
    </w:p>
    <w:p w:rsidR="00000000" w:rsidDel="00000000" w:rsidP="00000000" w:rsidRDefault="00000000" w:rsidRPr="00000000" w14:paraId="000002E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cs="Georgia" w:eastAsia="Georgia" w:hAnsi="Georgia"/>
          <w:b w:val="0"/>
          <w:bCs w:val="0"/>
          <w:i w:val="0"/>
          <w:iCs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cs="Georgia" w:eastAsia="Georgia" w:hAnsi="Georgia"/>
          <w:b w:val="1"/>
          <w:bCs w:val="1"/>
          <w:strike w:val="0"/>
          <w:color w:val="000000"/>
          <w:sz w:val="22"/>
          <w:szCs w:val="22"/>
          <w:shd w:fill="bfbfbf" w:val="clear"/>
          <w:rtl w:val="0"/>
        </w:rPr>
        <w:t xml:space="preserve">Results revealed that Treatment 3, with 40% concentration of Noni had the highest zone of inhibition in vitro with comparable antibacterial activity as the positive control against S. aureus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cs="Georgia" w:eastAsia="Georgia" w:hAnsi="Georgia"/>
          <w:b w:val="1"/>
          <w:bCs w:val="1"/>
          <w:strike w:val="0"/>
          <w:color w:val="000000"/>
          <w:sz w:val="22"/>
          <w:szCs w:val="22"/>
          <w:shd w:fill="bfbfbf" w:val="clear"/>
          <w:rtl w:val="0"/>
        </w:rPr>
        <w:t xml:space="preserve">Noni fruit ethanolic extract with 40% concentration has antibacterial property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E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cs="Georgia" w:eastAsia="Georgia" w:hAnsi="Georgia"/>
          <w:b w:val="0"/>
          <w:bCs w:val="0"/>
          <w:i w:val="0"/>
          <w:iCs w:val="0"/>
          <w:color w:val="000000"/>
          <w:sz w:val="22"/>
          <w:szCs w:val="22"/>
          <w:rtl w:val="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butterfly pea flower aqueous extract in improving the survival of zebrafish at its larval stage.</w:t>
      </w:r>
      <w:r>
        <w:rPr>
          <w:rtl w:val="0"/>
        </w:rPr>
      </w:r>
    </w:p>
    <w:p w:rsidR="00000000" w:rsidDel="00000000" w:rsidP="00000000" w:rsidRDefault="00000000" w:rsidRPr="00000000" w14:paraId="000002E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cs="Georgia" w:eastAsia="Georgia" w:hAnsi="Georgia"/>
          <w:b w:val="0"/>
          <w:bCs w:val="0"/>
          <w:i w:val="0"/>
          <w:iCs w:val="0"/>
          <w:color w:val="000000"/>
          <w:sz w:val="22"/>
          <w:szCs w:val="22"/>
          <w:rtl w:val="0"/>
        </w:rPr>
        <w:t xml:space="preserve">Zoonotic diseases are a significant public health concern, particularly those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Mabalacat City, Pampanga,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cs="Georgia" w:eastAsia="Georgia" w:hAnsi="Georgia"/>
          <w:b w:val="1"/>
          <w:bCs w:val="1"/>
          <w:strike w:val="0"/>
          <w:color w:val="000000"/>
          <w:sz w:val="22"/>
          <w:szCs w:val="22"/>
          <w:shd w:fill="bfbfbf" w:val="clear"/>
          <w:rtl w:val="0"/>
        </w:rPr>
        <w:t xml:space="preserve">Participants exhibited an overall moderate level of awareness (mean=3.30) on canine zoonotic diseases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cs="Georgia" w:eastAsia="Georgia" w:hAnsi="Georgia"/>
          <w:b w:val="1"/>
          <w:bCs w:val="1"/>
          <w:strike w:val="0"/>
          <w:color w:val="000000"/>
          <w:sz w:val="22"/>
          <w:szCs w:val="22"/>
          <w:shd w:fill="bfbfbf" w:val="clear"/>
          <w:rtl w:val="0"/>
        </w:rPr>
        <w:t xml:space="preserve">significant associations (p&lt;0.05) were found between awareness on zoonotic diseases and sociodemographic factors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such as educational attainment (p-value=0.000), monthly income (p-value=0.007), and years of dog ownership (p-value=0.001).</w:t>
      </w:r>
      <w:r>
        <w:rPr>
          <w:rtl w:val="0"/>
        </w:rPr>
      </w:r>
    </w:p>
    <w:p w:rsidR="00000000" w:rsidDel="00000000" w:rsidP="00000000" w:rsidRDefault="00000000" w:rsidRPr="00000000" w14:paraId="000002F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cs="Georgia" w:eastAsia="Georgia" w:hAnsi="Georgia"/>
          <w:b w:val="0"/>
          <w:bCs w:val="0"/>
          <w:i w:val="0"/>
          <w:iCs w:val="0"/>
          <w:color w:val="000000"/>
          <w:sz w:val="22"/>
          <w:szCs w:val="22"/>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Pampang Public Market, Angeles City.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Pr>
          <w:rtl w:val="0"/>
        </w:rPr>
      </w:r>
    </w:p>
    <w:p w:rsidR="00000000" w:rsidDel="00000000" w:rsidP="00000000" w:rsidRDefault="00000000" w:rsidRPr="00000000" w14:paraId="000002F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cs="Georgia" w:eastAsia="Georgia" w:hAnsi="Georgia"/>
          <w:b w:val="1"/>
          <w:bCs w:val="1"/>
          <w:strike w:val="0"/>
          <w:color w:val="000000"/>
          <w:sz w:val="22"/>
          <w:szCs w:val="22"/>
          <w:shd w:fill="bfbfbf" w:val="clear"/>
          <w:rtl w:val="0"/>
        </w:rPr>
        <w:t xml:space="preserve">The results indicated that most respondents demonstrated high knowledge about rabies (69.3%), particularly regarding transmission and prevention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cs="Georgia" w:eastAsia="Georgia" w:hAnsi="Georgia"/>
          <w:b w:val="1"/>
          <w:bCs w:val="1"/>
          <w:strike w:val="0"/>
          <w:color w:val="000000"/>
          <w:sz w:val="22"/>
          <w:szCs w:val="22"/>
          <w:shd w:fill="bfbfbf" w:val="clear"/>
          <w:rtl w:val="0"/>
        </w:rPr>
        <w:t xml:space="preserve">Multiple linear regression analysis confirmed interrelationships among KAP dimensions, revealing that higher knowledge scores significantly predicted better preventive behaviors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Pr>
          <w:rtl w:val="0"/>
        </w:rPr>
      </w:r>
    </w:p>
    <w:p w:rsidR="00000000" w:rsidDel="00000000" w:rsidP="00000000" w:rsidRDefault="00000000" w:rsidRPr="00000000" w14:paraId="000002F7">
      <w:pPr>
        <w:spacing w:before="0" w:after="0" w:line="480" w:lineRule="auto"/>
        <w:jc w:val="center"/>
        <w:rPr/>
      </w:pPr>
      <w:r>
        <w:rPr>
          <w:rFonts w:ascii="Georgia" w:cs="Georgia" w:eastAsia="Georgia" w:hAnsi="Georgia"/>
          <w:b w:val="1"/>
          <w:bCs w:val="1"/>
          <w:i w:val="0"/>
          <w:iCs w:val="0"/>
          <w:sz w:val="24"/>
          <w:szCs w:val="24"/>
          <w:rtl w:val="0"/>
        </w:rPr>
        <w:t xml:space="preserve">Agriculture, Crop Science (Acs1–Acs10)</w:t>
      </w:r>
      <w:r>
        <w:rPr>
          <w:rtl w:val="0"/>
        </w:rPr>
      </w:r>
    </w:p>
    <w:p w:rsidR="00000000" w:rsidDel="00000000" w:rsidP="00000000" w:rsidRDefault="00000000" w:rsidRPr="00000000" w14:paraId="000002F8">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cs="Georgia" w:eastAsia="Georgia" w:hAnsi="Georgia"/>
          <w:b w:val="0"/>
          <w:bCs w:val="0"/>
          <w:i w:val="0"/>
          <w:iCs w:val="0"/>
          <w:color w:val="000000"/>
          <w:sz w:val="22"/>
          <w:szCs w:val="22"/>
          <w:rtl w:val="0"/>
        </w:rPr>
        <w:t xml:space="preserve">This experimental study examined the performance of finger pepper (Capsicum frutescens) treated with fermented banana peel as an organic amendment. The research was conducted in Barangay Bucanan, Magalang, Pampanga,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banana peel, when applied at an optimal rate in combination with reduced synthetic fertilizer input,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significantly enhance the growth and yield performance of finger pepper, offering a sustainable alternative for crop production.</w:t>
      </w:r>
      <w:r>
        <w:rPr>
          <w:rtl w:val="0"/>
        </w:rPr>
      </w:r>
    </w:p>
    <w:p w:rsidR="00000000" w:rsidDel="00000000" w:rsidP="00000000" w:rsidRDefault="00000000" w:rsidRPr="00000000" w14:paraId="000002FA">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cs="Georgia" w:eastAsia="Georgia" w:hAnsi="Georgia"/>
          <w:b w:val="0"/>
          <w:bCs w:val="0"/>
          <w:i w:val="0"/>
          <w:iCs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statistical significance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observed, the mycorrhiza treatment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still offer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the differences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significant in the study, the researchers believe that mycorrhiza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provide beneficial effects in practical agricultural contexts. The study concluded that the application of mycorrhiza positive impact on mung beans during drought and root development highlights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for plant growth. Further research </w:t>
      </w:r>
      <w:r>
        <w:rPr>
          <w:rFonts w:ascii="Georgia" w:cs="Georgia" w:eastAsia="Georgia" w:hAnsi="Georgia"/>
          <w:b w:val="1"/>
          <w:bCs w:val="1"/>
          <w:strike w:val="1"/>
          <w:color w:val="000000"/>
          <w:sz w:val="22"/>
          <w:szCs w:val="22"/>
          <w:rtl w:val="0"/>
        </w:rPr>
        <w:t xml:space="preserve">could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unveil additional insights and applications for optimizing plant health.</w:t>
      </w:r>
      <w:r>
        <w:rPr>
          <w:rtl w:val="0"/>
        </w:rPr>
      </w:r>
    </w:p>
    <w:p w:rsidR="00000000" w:rsidDel="00000000" w:rsidP="00000000" w:rsidRDefault="00000000" w:rsidRPr="00000000" w14:paraId="000002F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Barangay Pandacaqui, Mexico, Pampanga,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the water treatment application but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establish roots and die after several days. However,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derived that the application of different alternative rooting hormones has a comparable effect with synthetic rooting hormones based on the growth parameters.</w:t>
      </w:r>
      <w:r>
        <w:rPr>
          <w:rtl w:val="0"/>
        </w:rPr>
      </w:r>
    </w:p>
    <w:p w:rsidR="00000000" w:rsidDel="00000000" w:rsidP="00000000" w:rsidRDefault="00000000" w:rsidRPr="00000000" w14:paraId="000002F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sweet potatoes treated with seaweed extract foliar spray from December 2023 to February 2024 in Telapayong, Arayat, Pampanga.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reduce production cost and provide the highest return on investment.</w:t>
      </w:r>
      <w:r>
        <w:rPr>
          <w:rtl w:val="0"/>
        </w:rPr>
      </w:r>
    </w:p>
    <w:p w:rsidR="00000000" w:rsidDel="00000000" w:rsidP="00000000" w:rsidRDefault="00000000" w:rsidRPr="00000000" w14:paraId="0000030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frequency of fermented azolla application on the growth and yield of onion was conducted at Barangay San Agustin, Magalang, Pampanga,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Trichoderma and fermented azolla at proper application frequencies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beneficial in enhancing cultivation, promoting both plant growth and economic returns.</w:t>
      </w:r>
      <w:r>
        <w:rPr>
          <w:rtl w:val="0"/>
        </w:rPr>
      </w:r>
    </w:p>
    <w:p w:rsidR="00000000" w:rsidDel="00000000" w:rsidP="00000000" w:rsidRDefault="00000000" w:rsidRPr="00000000" w14:paraId="0000030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effective, low-cost, and sustainable soil amendments for ornamental and horticultural cultivation, offering practical options for growers seeking eco-friendly methods to improve plant performance.</w:t>
      </w:r>
      <w:r>
        <w:rPr>
          <w:rtl w:val="0"/>
        </w:rPr>
      </w:r>
    </w:p>
    <w:p w:rsidR="00000000" w:rsidDel="00000000" w:rsidP="00000000" w:rsidRDefault="00000000" w:rsidRPr="00000000" w14:paraId="0000030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Pr>
          <w:rtl w:val="0"/>
        </w:rPr>
      </w:r>
    </w:p>
    <w:p w:rsidR="00000000" w:rsidDel="00000000" w:rsidP="00000000" w:rsidRDefault="00000000" w:rsidRPr="00000000" w14:paraId="0000030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performance of eggplant applied with different methods of Kuhol Amino Acid Application was conducted at Lapaz , Magalang Pampanga,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cs="Georgia" w:eastAsia="Georgia" w:hAnsi="Georgia"/>
          <w:b w:val="1"/>
          <w:bCs w:val="1"/>
          <w:strike w:val="0"/>
          <w:color w:val="000000"/>
          <w:sz w:val="22"/>
          <w:szCs w:val="22"/>
          <w:shd w:fill="bfbfbf" w:val="clear"/>
          <w:rtl w:val="0"/>
        </w:rPr>
        <w:t xml:space="preserve">there was no significant difference among the different methods of kuhol amino acid app in terms of plant height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weight of marketable and weight of non-marketable fruit, number of marketable and non-marketable fruits, and computed yield. </w:t>
      </w:r>
      <w:r>
        <w:rPr>
          <w:rFonts w:ascii="Georgia" w:cs="Georgia" w:eastAsia="Georgia" w:hAnsi="Georgia"/>
          <w:b w:val="1"/>
          <w:bCs w:val="1"/>
          <w:strike w:val="0"/>
          <w:color w:val="000000"/>
          <w:sz w:val="22"/>
          <w:szCs w:val="22"/>
          <w:shd w:fill="bfbfbf" w:val="clear"/>
          <w:rtl w:val="0"/>
        </w:rPr>
        <w:t xml:space="preserve">Different methods of kuhol amino acid application influenced the plant height, weight of fruits, number of marketable and non-marketable fruits, and computed yield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researcher </w:t>
      </w:r>
      <w:r>
        <w:rPr>
          <w:rFonts w:ascii="Georgia" w:cs="Georgia" w:eastAsia="Georgia" w:hAnsi="Georgia"/>
          <w:b w:val="1"/>
          <w:bCs w:val="1"/>
          <w:strike w:val="1"/>
          <w:color w:val="000000"/>
          <w:sz w:val="22"/>
          <w:szCs w:val="22"/>
          <w:rtl w:val="0"/>
        </w:rPr>
        <w:t xml:space="preserve">recommends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foliar and drenching application of kuhol amino acid. because, numerically, it consistently produced the highest yield performance.</w:t>
      </w:r>
      <w:r>
        <w:rPr>
          <w:rtl w:val="0"/>
        </w:rPr>
      </w:r>
    </w:p>
    <w:p w:rsidR="00000000" w:rsidDel="00000000" w:rsidP="00000000" w:rsidRDefault="00000000" w:rsidRPr="00000000" w14:paraId="0000030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cs="Georgia" w:eastAsia="Georgia" w:hAnsi="Georgia"/>
          <w:b w:val="0"/>
          <w:bCs w:val="0"/>
          <w:i w:val="0"/>
          <w:iCs w:val="0"/>
          <w:color w:val="000000"/>
          <w:sz w:val="22"/>
          <w:szCs w:val="22"/>
          <w:rtl w:val="0"/>
        </w:rPr>
        <w:t xml:space="preserve">A field experiment was conducted from December 2024 to January 2025 in Mitla Proper, Porac, Pampanga,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soaking sugarcane setts in Azospirillum spp. biofertilizer for 24 hours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effectively promote early growth by enhancing root development and biomass accumulation, thereby supporting improved propagation success.</w:t>
      </w:r>
      <w:r>
        <w:rPr>
          <w:rtl w:val="0"/>
        </w:rPr>
      </w:r>
    </w:p>
    <w:p w:rsidR="00000000" w:rsidDel="00000000" w:rsidP="00000000" w:rsidRDefault="00000000" w:rsidRPr="00000000" w14:paraId="0000030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cs="Georgia" w:eastAsia="Georgia" w:hAnsi="Georgia"/>
          <w:b w:val="0"/>
          <w:bCs w:val="0"/>
          <w:i w:val="0"/>
          <w:iCs w:val="0"/>
          <w:color w:val="000000"/>
          <w:sz w:val="22"/>
          <w:szCs w:val="22"/>
          <w:rtl w:val="0"/>
        </w:rPr>
        <w:t xml:space="preserve">The field study was conducted from January 2023 to April 2023 at Parulung, Concepcion, and Tarlac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cs="Georgia" w:eastAsia="Georgia" w:hAnsi="Georgia"/>
          <w:b w:val="1"/>
          <w:bCs w:val="1"/>
          <w:strike w:val="0"/>
          <w:color w:val="000000"/>
          <w:sz w:val="22"/>
          <w:szCs w:val="22"/>
          <w:shd w:fill="bfbfbf" w:val="clear"/>
          <w:rtl w:val="0"/>
        </w:rPr>
        <w:t xml:space="preserve">a significant difference was observed in the number of productive tillers, actual yield per sample area, and computed yield per ton/ha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cs="Georgia" w:eastAsia="Georgia" w:hAnsi="Georgia"/>
          <w:b w:val="1"/>
          <w:bCs w:val="1"/>
          <w:strike w:val="0"/>
          <w:color w:val="000000"/>
          <w:sz w:val="22"/>
          <w:szCs w:val="22"/>
          <w:shd w:fill="bfbfbf" w:val="clear"/>
          <w:rtl w:val="0"/>
        </w:rPr>
        <w:t xml:space="preserve">T3: NPK+14-14-14 was the most compelling treatment among all treatments in terms of producing the highest number of productive tillers and obtaining the heaviest yield per ton/ha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Pr>
          <w:rtl w:val="0"/>
        </w:rPr>
      </w:r>
    </w:p>
    <w:p w:rsidR="00000000" w:rsidDel="00000000" w:rsidP="00000000" w:rsidRDefault="00000000" w:rsidRPr="00000000" w14:paraId="0000030D">
      <w:pPr>
        <w:spacing w:before="0" w:after="0" w:line="480" w:lineRule="auto"/>
        <w:jc w:val="center"/>
        <w:rPr/>
      </w:pPr>
      <w:r>
        <w:rPr>
          <w:rFonts w:ascii="Georgia" w:cs="Georgia" w:eastAsia="Georgia" w:hAnsi="Georgia"/>
          <w:b w:val="1"/>
          <w:bCs w:val="1"/>
          <w:i w:val="0"/>
          <w:iCs w:val="0"/>
          <w:sz w:val="24"/>
          <w:szCs w:val="24"/>
          <w:rtl w:val="0"/>
        </w:rPr>
        <w:t xml:space="preserve">Agriculture, Animal Science (Aas1–Aas10)</w:t>
      </w:r>
      <w:r>
        <w:rPr>
          <w:rtl w:val="0"/>
        </w:rPr>
      </w:r>
    </w:p>
    <w:p w:rsidR="00000000" w:rsidDel="00000000" w:rsidP="00000000" w:rsidRDefault="00000000" w:rsidRPr="00000000" w14:paraId="0000030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cs="Georgia" w:eastAsia="Georgia" w:hAnsi="Georgia"/>
          <w:b w:val="0"/>
          <w:bCs w:val="0"/>
          <w:i w:val="0"/>
          <w:iCs w:val="0"/>
          <w:color w:val="000000"/>
          <w:sz w:val="22"/>
          <w:szCs w:val="22"/>
          <w:rtl w:val="0"/>
        </w:rPr>
        <w:t xml:space="preserve">The field was conducted for 35 days from April 6, to May 10, 2023 in Sitio. Mapaco, Talimundoc Marimla Concepcion, and Tarlac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cs="Georgia" w:eastAsia="Georgia" w:hAnsi="Georgia"/>
          <w:b w:val="1"/>
          <w:bCs w:val="1"/>
          <w:strike w:val="0"/>
          <w:color w:val="000000"/>
          <w:sz w:val="22"/>
          <w:szCs w:val="22"/>
          <w:shd w:fill="bfbfbf" w:val="clear"/>
          <w:rtl w:val="0"/>
        </w:rPr>
        <w:t xml:space="preserve">No significant differences were observed in terms of mean initial weight (kg), mean final weight (kg)</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mean gain in weight (kg), mean DM intake (kg), or feed conversion ratio. </w:t>
      </w:r>
      <w:r>
        <w:rPr>
          <w:rFonts w:ascii="Georgia" w:cs="Georgia" w:eastAsia="Georgia" w:hAnsi="Georgia"/>
          <w:b w:val="1"/>
          <w:bCs w:val="1"/>
          <w:strike w:val="0"/>
          <w:color w:val="000000"/>
          <w:sz w:val="22"/>
          <w:szCs w:val="22"/>
          <w:shd w:fill="bfbfbf" w:val="clear"/>
          <w:rtl w:val="0"/>
        </w:rPr>
        <w:t xml:space="preserve">The student researcher concluded that T2 (20% GA Leaves + 40% Paragrass + 40% Concentrate Feeds) was the most compelling treatment among all treatments for the rabbits in terms of outperforming the data numerically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20% Gmelina arborea + 40% Para grass + 40% Concentrate Feeds greatly contributed to performances in terms of obtaining the highest mean final weight, mean gain in weight, and highest net income.</w:t>
      </w:r>
      <w:r>
        <w:rPr>
          <w:rtl w:val="0"/>
        </w:rPr>
      </w:r>
    </w:p>
    <w:p w:rsidR="00000000" w:rsidDel="00000000" w:rsidP="00000000" w:rsidRDefault="00000000" w:rsidRPr="00000000" w14:paraId="0000031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cs="Georgia" w:eastAsia="Georgia" w:hAnsi="Georgia"/>
          <w:b w:val="0"/>
          <w:bCs w:val="0"/>
          <w:i w:val="0"/>
          <w:iCs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cs="Georgia" w:eastAsia="Georgia" w:hAnsi="Georgia"/>
          <w:b w:val="1"/>
          <w:bCs w:val="1"/>
          <w:strike w:val="0"/>
          <w:color w:val="000000"/>
          <w:sz w:val="22"/>
          <w:szCs w:val="22"/>
          <w:shd w:fill="bfbfbf" w:val="clear"/>
          <w:rtl w:val="0"/>
        </w:rPr>
        <w:t xml:space="preserve">the fermented okara extract had the biggest impact, resulting in the heaviest weight</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w:t>
      </w:r>
      <w:r>
        <w:rPr>
          <w:rFonts w:ascii="Georgia" w:cs="Georgia" w:eastAsia="Georgia" w:hAnsi="Georgia"/>
          <w:b w:val="1"/>
          <w:bCs w:val="1"/>
          <w:strike w:val="0"/>
          <w:color w:val="000000"/>
          <w:sz w:val="22"/>
          <w:szCs w:val="22"/>
          <w:shd w:fill="bfbfbf" w:val="clear"/>
          <w:rtl w:val="0"/>
        </w:rPr>
        <w:t xml:space="preserve">the total return result showed a promising future for fermented okara extract at a level of 60 ml (166.00 PHP)</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31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cs="Georgia" w:eastAsia="Georgia" w:hAnsi="Georgia"/>
          <w:b w:val="0"/>
          <w:bCs w:val="0"/>
          <w:i w:val="0"/>
          <w:iCs w:val="0"/>
          <w:color w:val="000000"/>
          <w:sz w:val="22"/>
          <w:szCs w:val="22"/>
          <w:rtl w:val="0"/>
        </w:rPr>
        <w:t xml:space="preserve">A sixty three (63) days study was conducted to determine the growth performance of mallard duck fed with dietary mixed ration in Barangay Bucanan, Magalang, Pampanga.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concluded that D1 rice bran mixed with water spinach and with golden apple snail used in the study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minimize the cost of production, specifically the feed cost.</w:t>
      </w:r>
      <w:r>
        <w:rPr>
          <w:rtl w:val="0"/>
        </w:rPr>
      </w:r>
    </w:p>
    <w:p w:rsidR="00000000" w:rsidDel="00000000" w:rsidP="00000000" w:rsidRDefault="00000000" w:rsidRPr="00000000" w14:paraId="00000314">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for 30 days, from April 26, 2023, to May 25, 2023, at Marbea, Magalang, Pampanga.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Pr>
          <w:rtl w:val="0"/>
        </w:rPr>
      </w:r>
    </w:p>
    <w:p w:rsidR="00000000" w:rsidDel="00000000" w:rsidP="00000000" w:rsidRDefault="00000000" w:rsidRPr="00000000" w14:paraId="00000316">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Aas5  ·  316 words  ·  1 hedges  ·  0.32 per 100 words</w:t>
      </w:r>
      <w:r>
        <w:rPr>
          <w:rtl w:val="0"/>
        </w:rPr>
      </w:r>
    </w:p>
    <w:p w:rsidR="00000000" w:rsidDel="00000000" w:rsidP="00000000" w:rsidRDefault="00000000" w:rsidRPr="00000000" w14:paraId="00000317">
      <w:pPr>
        <w:spacing w:before="0" w:after="0" w:line="480" w:lineRule="auto"/>
        <w:jc w:val="both"/>
        <w:rPr/>
      </w:pPr>
      <w:r>
        <w:rPr>
          <w:rFonts w:ascii="Georgia" w:cs="Georgia" w:eastAsia="Georgia" w:hAnsi="Georgia"/>
          <w:b w:val="0"/>
          <w:bCs w:val="0"/>
          <w:i w:val="0"/>
          <w:iCs w:val="0"/>
          <w:color w:val="000000"/>
          <w:sz w:val="22"/>
          <w:szCs w:val="22"/>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cs="Georgia" w:eastAsia="Georgia" w:hAnsi="Georgia"/>
          <w:b w:val="1"/>
          <w:bCs w:val="1"/>
          <w:strike w:val="1"/>
          <w:color w:val="000000"/>
          <w:sz w:val="22"/>
          <w:szCs w:val="22"/>
          <w:rtl w:val="0"/>
        </w:rPr>
        <w:t xml:space="preserve">will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drive animal production systems to find new sources of high-quality and sustainable protein feed raw materials. Fortunately, insect farming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seen as a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Pr>
          <w:rtl w:val="0"/>
        </w:rPr>
      </w:r>
    </w:p>
    <w:p w:rsidR="00000000" w:rsidDel="00000000" w:rsidP="00000000" w:rsidRDefault="00000000" w:rsidRPr="00000000" w14:paraId="0000031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cs="Georgia" w:eastAsia="Georgia" w:hAnsi="Georgia"/>
          <w:b w:val="0"/>
          <w:bCs w:val="0"/>
          <w:i w:val="0"/>
          <w:iCs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cs="Georgia" w:eastAsia="Georgia" w:hAnsi="Georgia"/>
          <w:b w:val="1"/>
          <w:bCs w:val="1"/>
          <w:strike w:val="0"/>
          <w:color w:val="000000"/>
          <w:sz w:val="22"/>
          <w:szCs w:val="22"/>
          <w:shd w:fill="bfbfbf" w:val="clear"/>
          <w:rtl w:val="0"/>
        </w:rPr>
        <w:t xml:space="preserve">It was found to have a significant effect on the growth and germination rate of pigeon pea in terms of days to germinate, plant height, a number of leaves, and length of leaves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Sulfuric was second in terms of the scarification method effectiveness for pigeon pea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tl w:val="0"/>
        </w:rPr>
      </w:r>
    </w:p>
    <w:p w:rsidR="00000000" w:rsidDel="00000000" w:rsidP="00000000" w:rsidRDefault="00000000" w:rsidRPr="00000000" w14:paraId="0000031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over a 35-day period from May 10, 2023, to June 14, 2023, at San Ildefonso, Magalang, Pampanga.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cs="Georgia" w:eastAsia="Georgia" w:hAnsi="Georgia"/>
          <w:b w:val="1"/>
          <w:bCs w:val="1"/>
          <w:strike w:val="0"/>
          <w:color w:val="ffffff"/>
          <w:sz w:val="22"/>
          <w:szCs w:val="22"/>
          <w:highlight w:val="red"/>
          <w:rtl w:val="0"/>
        </w:rPr>
        <w:t xml:space="preserve">implying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Madre de Agua is a viable feed component under these conditions. Feeding 20%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improve final weight, while feeding 10%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reduce dry matter intake.</w:t>
      </w:r>
      <w:r>
        <w:rPr>
          <w:rtl w:val="0"/>
        </w:rPr>
      </w:r>
    </w:p>
    <w:p w:rsidR="00000000" w:rsidDel="00000000" w:rsidP="00000000" w:rsidRDefault="00000000" w:rsidRPr="00000000" w14:paraId="0000031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cs="Georgia" w:eastAsia="Georgia" w:hAnsi="Georgia"/>
          <w:b w:val="0"/>
          <w:bCs w:val="0"/>
          <w:i w:val="0"/>
          <w:iCs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superior feed efficiency and improved survivability to T2. Based on the results of the study,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explore the long-term effects and cost-effectiveness of these treatments and their impact on meat quality and reproductive performance.</w:t>
      </w:r>
      <w:r>
        <w:rPr>
          <w:rtl w:val="0"/>
        </w:rPr>
      </w:r>
    </w:p>
    <w:p w:rsidR="00000000" w:rsidDel="00000000" w:rsidP="00000000" w:rsidRDefault="00000000" w:rsidRPr="00000000" w14:paraId="0000032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EJR ANNE FARM, San Ildefonso, Magalang, Pampanga from April 25 to April 30, 2023 to find out the “Efficacy of Diatomaceous Earth (DE) and Neem Tree Extract (Azadirachta indica) on House Fly Larvae (Musca domestica) on Poultry Manure”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w:t>
      </w:r>
      <w:r>
        <w:rPr>
          <w:rFonts w:ascii="Georgia" w:cs="Georgia" w:eastAsia="Georgia" w:hAnsi="Georgia"/>
          <w:b w:val="1"/>
          <w:bCs w:val="1"/>
          <w:strike w:val="0"/>
          <w:color w:val="000000"/>
          <w:sz w:val="22"/>
          <w:szCs w:val="22"/>
          <w:shd w:fill="bfbfbf" w:val="clear"/>
          <w:rtl w:val="0"/>
        </w:rPr>
        <w:t xml:space="preserve">The results disclosed that the percentage of mortality and moisture content were statistically significant at 1% (P&lt;0.01) and (P&lt;0.05) level with 48 hours after the post-treatment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mortality rate and moisture content were not significant after 6 hours and 24 hours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Therefore,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for future researchers to add Diatomaceous earth and neem tree extract and check the humidity. Extend data collection for 72 hours and 96 hours for future study.</w:t>
      </w:r>
      <w:r>
        <w:rPr>
          <w:rtl w:val="0"/>
        </w:rPr>
      </w:r>
    </w:p>
    <w:p w:rsidR="00000000" w:rsidDel="00000000" w:rsidP="00000000" w:rsidRDefault="00000000" w:rsidRPr="00000000" w14:paraId="0000032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Sitio Corba, San Vicente, Concepcion, Tarlac,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alternative feed ration for rabbits without adverse effects, and considering that azolla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breeders to lessen the feed cost in production.</w:t>
      </w:r>
      <w:r>
        <w:rPr>
          <w:rtl w:val="0"/>
        </w:rPr>
      </w:r>
    </w:p>
    <w:sectPr>
      <w:type w:val="nextPage"/>
      <w:pgSz w:h="16838" w:w="11906" w:orient="portrait"/>
      <w:pgMar w:bottom="1440" w:top="1440" w:left="216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