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hedge tokens in the corpus served the function of Epistemic Caution (EC). No instances of Politeness/Deference (P) or Discourse Organization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w:t>
            </w:r>
            <w:r>
              <w:rPr>
                <w:rFonts w:ascii="Georgia" w:cs="Georgia" w:eastAsia="Georgia" w:hAnsi="Georgia"/>
                <w:b w:val="0"/>
                <w:bCs w:val="0"/>
                <w:i w:val="0"/>
                <w:iCs w:val="0"/>
                <w:sz w:val="18"/>
                <w:szCs w:val="18"/>
                <w:rtl w:val="0"/>
                <w:color w:val="00B0F0"/>
              </w:rPr>
              <w:t xml:space="preserve">(DO)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