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Fonts w:ascii="Georgia" w:hAnsi="Georgia" w:cs="Georgia" w:eastAsia="Georgia"/>
          <w:rtl w:val="0"/>
          <w:sz w:val="22"/>
          <w:szCs w:val="22"/>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 xml:space="preserve">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False positives are not a function label; they record candidates that fail both the Working Test and the Reader Test.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 xml:space="preserve">
        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Working Test for EC at Step 2.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
    </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 identified function with a claim condition and two paired removal checks. Claim condition: a device can only be a hedge if it attaches to a claim—a statement about data, the world, or prior work that evidence could show to be wrong. Aims, directives, and routine procedure are excluded by kind. Non-claims are logged FP. Working Test: remove the device. If the writer’s commitment to the claim’s truth goes up → EC. Reader Test: remove the device. If commitment to the truth stays the same, but the claim reaches the reader more bluntly or the writer takes sole ownership of it against prior work → P. Neither check met → FP (not a function). There is no required category pre-filter before Step 2. Step 3 assigned grammatical type only to retained P and EC tokens. Reason codes (FP-Rec, FP-Cap, FP-Proc, FP-Gen) label residual rejects in the inventory.</w:t>
      </w:r>
    </w:p>
    <w:p>
      <w:pPr>
        <w:spacing w:before="0" w:after="0" w:line="480" w:lineRule="auto"/>
        <w:ind w:firstLine="720"/>
        <w:jc w:val="both"/>
        <w:rPr/>
      </w:pPr>
      <w:r>
        <w:rPr>
          <w:rFonts w:ascii="Georgia" w:hAnsi="Georgia" w:cs="Georgia" w:eastAsia="Georgia"/>
          <w:i w:val="0"/>
          <w:sz w:val="22"/>
          <w:szCs w:val="22"/>
          <w:b w:val="0"/>
          <w:bCs w:val="0"/>
        </w:rPr>
        <w:t xml:space="preserve">The only function labels in this study are Epistemic Caution (EC) and Politeness/Deference (P). False positives are not a function. They are a residual record of candidates that fail the claim condition or meet neither removal check at Step 2. EC and P may co-occur on one retained token (EC+P) when both the Working Test and the Reader Test hold. Connectors, framing forms, directives, and aim statements may appear in the Step 1 net. If the claim condition fails or neither test is met, they are recorded as FP, not as a third function. It is not a license to count every soft-sounding word. Recommendations do not become P by sounding polite: they fail the claim condition.</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 xml:space="preserve">
        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Working Test for EC, Salager-Meyer (1994) is the Part IV claim-responsibility lens, and Hyland (2005) is the stance lens for implications. Figure 1 shows functions as Epistemic Caution and Politeness only; false positives are a residual coding record, not a function category in the figure.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
    </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pPr>
      <w:r>
        <w:rPr>
          <w:rFonts w:ascii="Georgia" w:hAnsi="Georgia" w:cs="Georgia" w:eastAsia="Georgia"/>
          <w:sz w:val="22"/>
          <w:szCs w:val="22"/>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 xml:space="preserve">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not a third function. Genre compression in abstracts is a plausible account of why P items on claims did not appear.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Chi-Square Test of Independence</w:t>
      </w:r>
      <w:r>
        <w:rPr>
          <w:rFonts w:ascii="Georgia" w:hAnsi="Georgia" w:cs="Georgia" w:eastAsia="Georgia"/>
          <w:sz w:val="22"/>
          <w:szCs w:val="22"/>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Epistemic Weight</w:t>
      </w:r>
      <w:r>
        <w:rPr>
          <w:rFonts w:ascii="Georgia" w:hAnsi="Georgia" w:cs="Georgia" w:eastAsia="Georgia"/>
          <w:sz w:val="22"/>
          <w:szCs w:val="22"/>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FP, not a function.</w:t>
      </w:r>
    </w:p>
    <w:p w:rsidR="00000000" w:rsidDel="00000000" w:rsidP="00000000" w:rsidRDefault="00000000" w:rsidRPr="00000000" w14:paraId="0000006F">
      <w:pPr>
        <w:spacing w:before="0" w:after="0" w:line="480" w:lineRule="auto"/>
        <w:ind w:firstLine="720"/>
        <w:jc w:val="both"/>
      </w:pPr>
      <w:r>
        <w:rPr>
          <w:rFonts w:ascii="Georgia" w:hAnsi="Georgia" w:cs="Georgia" w:eastAsia="Georgia"/>
          <w:sz w:val="22"/>
          <w:szCs w:val="22"/>
          <w:b/>
        </w:rPr>
        <w:t xml:space="preserve">Hedge Function</w:t>
      </w:r>
      <w:r>
        <w:rPr>
          <w:rFonts w:ascii="Georgia" w:hAnsi="Georgia" w:cs="Georgia" w:eastAsia="Georgia"/>
          <w:sz w:val="22"/>
          <w:szCs w:val="22"/>
        </w:rPr>
        <w:t xml:space="preserve">,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a residual coding record, not a function.</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Kruskal-Wallis Test</w:t>
      </w:r>
      <w:r>
        <w:rPr>
          <w:rFonts w:ascii="Georgia" w:hAnsi="Georgia" w:cs="Georgia" w:eastAsia="Georgia"/>
          <w:sz w:val="22"/>
          <w:szCs w:val="22"/>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pPr>
      <w:r>
        <w:rPr>
          <w:rFonts w:ascii="Georgia" w:hAnsi="Georgia" w:cs="Georgia" w:eastAsia="Georgia"/>
          <w:sz w:val="22"/>
          <w:szCs w:val="22"/>
          <w:b/>
        </w:rPr>
        <w:t xml:space="preserve">Mann-Whitney U Test</w:t>
      </w:r>
      <w:r>
        <w:rPr>
          <w:rFonts w:ascii="Georgia" w:hAnsi="Georgia" w:cs="Georgia" w:eastAsia="Georgia"/>
          <w:sz w:val="22"/>
          <w:szCs w:val="22"/>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Reported pairwise results appear in the Results chapter.</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Softening</w:t>
      </w:r>
      <w:r>
        <w:rPr>
          <w:rFonts w:ascii="Georgia" w:hAnsi="Georgia" w:cs="Georgia" w:eastAsia="Georgia"/>
          <w:sz w:val="22"/>
          <w:szCs w:val="22"/>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not a function label. Aims, directives, and routine procedure fail the claim condition by kind and are logged FP even if no category pre-filter is applied. P = 0 in this study refers to reader-oriented softening of claims, not to softened directives.</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pPr>
      <w:r>
        <w:rPr>
          <w:rFonts w:ascii="Georgia" w:hAnsi="Georgia" w:cs="Georgia" w:eastAsia="Georgia"/>
          <w:sz w:val="22"/>
          <w:szCs w:val="22"/>
          <w:b/>
        </w:rPr>
        <w:t xml:space="preserve">d. Pilot Testing and Reliability Checking. </w:t>
      </w:r>
      <w:r>
        <w:rPr>
          <w:rFonts w:ascii="Georgia" w:hAnsi="Georgia" w:cs="Georgia" w:eastAsia="Georgia"/>
          <w:sz w:val="22"/>
          <w:szCs w:val="22"/>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proposition—for example when “presence of potential mycobacterial infections” becomes an asserted presence claim without the modifier—the token is coded Lexical EC. The same claim-condition treatment applies to “possibility + noun” in aim and method sentences. Fourth, when a sentence contains multiple hedge-like tokens, each is tested on its own host clause under the claim condition and the two removal checks.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 xml:space="preserve">Alongside the 65 retained EC hedges (and P = 0), the corpus yielded 58 false positive tokens—hedge-like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Table 6 summarizes Step 2 outcomes for the coding pool. Of the retained hedges, all 65 were coded Epistemic Caution (EC). Politeness/Deference is null (P = 0). False positives totaled 58 (FP-Gen 33, FP-Rec 15, FP-Cap 8, FP-Proc 2). FP is not a function label; the 58 failed the claim condition or both removal checks (reason codes: FP-Gen, FP-Rec, FP-Cap, FP-Proc). The direct comparison is therefore EC = 65, P = 0, FP = 58.</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 — retained</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 — retained</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Not retained; not a function</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checks—including recommendations and other non-claims—are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pPr>
      <w:r>
        <w:rPr>
          <w:rFonts w:ascii="Georgia" w:hAnsi="Georgia" w:cs="Georgia" w:eastAsia="Georgia"/>
          <w:sz w:val="22"/>
          <w:szCs w:val="22"/>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w:t>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more—only that they hedge less in this sample. Hyland’s (2005) stance model is consistent with the density reading (fewer hedges mean less explicit softening of authorial commitment) without converting it into a finding about field-wide norms.</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0" w:after="4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0" w:after="40" w:line="240" w:lineRule="auto"/>
        <w:jc w:val="left"/>
        <w:rPr/>
      </w:pPr>
      <w:r>
        <w:rPr>
          <w:rFonts w:ascii="Georgia" w:cs="Georgia" w:eastAsia="Georgia" w:hAnsi="Georgia"/>
          <w:sz w:val="22"/>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0" w:line="240" w:lineRule="auto"/>
        <w:ind w:left="288" w:hanging="288"/>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40"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40" w:lineRule="auto"/>
        <w:ind w:left="288" w:hanging="288"/>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20" w:after="0" w:line="240"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40" w:lineRule="auto"/>
        <w:ind w:left="288" w:hanging="288"/>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40" w:lineRule="auto"/>
        <w:ind w:left="288" w:hanging="288"/>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40" w:lineRule="auto"/>
        <w:ind w:left="288" w:hanging="288"/>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40" w:lineRule="auto"/>
        <w:ind w:left="288" w:hanging="288"/>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20" w:after="0" w:line="240" w:lineRule="auto"/>
        <w:jc w:val="left"/>
        <w:rPr/>
      </w:pPr>
      <w:r>
        <w:rPr>
          <w:rFonts w:ascii="Georgia" w:hAnsi="Georgia" w:cs="Georgia" w:eastAsia="Georgia"/>
          <w:sz w:val="22"/>
          <w:szCs w:val="22"/>
          <w:rtl w:val="0"/>
        </w:rPr>
        <w:t xml:space="preserve">Functions: EC = uncertainty about a claim’s truth. P = interpersonal softening of a claim. FP = fails the claim condition or both checks (not a function).</w:t>
      </w:r>
    </w:p>
    <w:p w:rsidR="00000000" w:rsidDel="00000000" w:rsidP="00000000" w:rsidRDefault="00000000" w:rsidRPr="00000000" w14:paraId="000001AD">
      <w:pPr>
        <w:spacing w:before="0" w:after="0" w:line="240" w:lineRule="auto"/>
        <w:jc w:val="left"/>
        <w:rPr/>
      </w:pPr>
      <w:r>
        <w:rPr>
          <w:rFonts w:ascii="Georgia" w:hAnsi="Georgia" w:cs="Georgia" w:eastAsia="Georgia"/>
          <w:sz w:val="22"/>
          <w:szCs w:val="22"/>
          <w:rtl w:val="0"/>
        </w:rPr>
        <w:t>Core rules: suggest/indicate finding→hedge, recommendation→FP-Rec; can/may possibility→hedge, capability→FP-Cap; generally/typically claim-limit→hedge, procedural→FP-Proc; appear/seem result-uncertainty→hedge, location→FP-Gen.</w:t>
      </w:r>
    </w:p>
    <w:p>
      <w:pPr>
        <w:spacing w:after="0" w:before="0" w:line="240" w:lineRule="auto"/>
      </w:pPr>
      <w:r>
        <w:rPr>
          <w:rFonts w:ascii="Georgia" w:hAnsi="Georgia" w:cs="Georgia" w:eastAsia="Georgia"/>
          <w:sz w:val="22"/>
          <w:szCs w:val="22"/>
        </w:rPr>
        <w:t xml:space="preserve">Steps 1–3: Step 1 wide-net candidates. Step 2 = claim condition, then Working Test + Reader Test → EC, P, or FP. Step 3 = type on retained P and EC only.</w:t>
      </w:r>
    </w:p>
    <w:p w:rsidR="00000000" w:rsidDel="00000000" w:rsidP="00000000" w:rsidRDefault="00000000" w:rsidRPr="00000000" w14:paraId="00000233">
      <w:pPr>
        <w:spacing w:before="40" w:after="20" w:line="240" w:lineRule="auto"/>
        <w:jc w:val="left"/>
        <w:rPr/>
      </w:pPr>
      <w:r>
        <w:rPr>
          <w:rFonts w:ascii="Georgia" w:hAnsi="Georgia" w:cs="Georgia" w:eastAsia="Georgia"/>
          <w:sz w:val="24"/>
          <w:szCs w:val="24"/>
          <w:rtl w:val="0"/>
          <w:b/>
          <w:bCs/>
        </w:rPr>
        <w:t>QUICK-REFERENCE LEGEND</w:t>
      </w:r>
      <w:r>
        <w:rPr>
          <w:rtl w:val="0"/>
          <w:sz w:val="24"/>
          <w:szCs w:val="24"/>
        </w:rPr>
      </w:r>
    </w:p>
    <w:p w:rsidR="00000000" w:rsidDel="00000000" w:rsidP="00000000" w:rsidRDefault="00000000" w:rsidRPr="00000000" w14:paraId="00000234">
      <w:pPr>
        <w:spacing w:before="0" w:after="0" w:line="240" w:lineRule="auto"/>
        <w:ind w:left="288" w:hanging="288"/>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2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2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w:t>
            </w:r>
            <w:r>
              <w:rPr>
                <w:rFonts w:ascii="Georgia" w:cs="Georgia" w:eastAsia="Georgia" w:hAnsi="Georgia"/>
                <w:i w:val="0"/>
                <w:iCs w:val="0"/>
                <w:color w:val="000000"/>
                <w:sz w:val="18"/>
                <w:szCs w:val="18"/>
                <w:rtl w:val="0"/>
              </w:rPr>
              <w:t xml:space="preserve">  </w:t>
            </w:r>
            <w:r>
              <w:rPr>
                <w:rtl w:val="0"/>
                <w:sz w:val="18"/>
                <w:szCs w:val="18"/>
                <w:rFonts w:ascii="Georgia" w:hAnsi="Georgia"/>
              </w:rPr>
            </w:r>
          </w:p>
        </w:tc>
      </w:tr>
      <w:tr>
        <w:trPr>
          <w:cantSplit/>
        </w:trPr>
        <w:tc>
          <w:tcPr/>
          <w:p w:rsidR="00000000" w:rsidDel="00000000" w:rsidP="00000000" w:rsidRDefault="00000000" w:rsidRPr="00000000" w14:paraId="0000023E">
            <w:pPr>
              <w:spacing w:before="2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20" w:lineRule="auto"/>
              <w:jc w:val="both"/>
            </w:pPr>
            <w:r>
              <w:rPr>
                <w:rFonts w:ascii="Georgia" w:hAnsi="Georgia" w:cs="Georgia" w:eastAsia="Georgia"/>
                <w:sz w:val="24"/>
                <w:szCs w:val="24"/>
              </w:rPr>
              <w:t xml:space="preserve">R = Result, G = Generalization, C = Causal. Bracket the subtype beside the mark.</w:t>
            </w:r>
          </w:p>
        </w:tc>
        <w:tc>
          <w:tcPr/>
          <w:p w:rsidR="00000000" w:rsidDel="00000000" w:rsidP="00000000" w:rsidRDefault="00000000" w:rsidRPr="00000000" w14:paraId="00000240">
            <w:pPr>
              <w:spacing w:before="2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20" w:lineRule="auto"/>
              <w:jc w:val="both"/>
            </w:pPr>
            <w:r>
              <w:rPr>
                <w:rFonts w:ascii="Georgia" w:hAnsi="Georgia" w:cs="Georgia" w:eastAsia="Georgia"/>
                <w:sz w:val="24"/>
                <w:szCs w:val="24"/>
              </w:rPr>
              <w:t xml:space="preserve">No highlight. Strike through the token and write the reason code in grey text.</w:t>
            </w:r>
          </w:p>
        </w:tc>
      </w:tr>
    </w:tbl>
    <w:p w:rsidR="00000000" w:rsidDel="00000000" w:rsidP="00000000" w:rsidRDefault="00000000" w:rsidRPr="00000000" w14:paraId="00000243">
      <w:pPr>
        <w:spacing w:before="40" w:after="20" w:line="240" w:lineRule="auto"/>
        <w:jc w:val="left"/>
        <w:rPr/>
        <w:keepNext/>
      </w:pPr>
      <w:r>
        <w:rPr>
          <w:rFonts w:ascii="Georgia" w:hAnsi="Georgia" w:cs="Georgia" w:eastAsia="Georgia"/>
          <w:sz w:val="24"/>
          <w:szCs w:val="24"/>
          <w:rtl w:val="0"/>
          <w:b/>
          <w:bCs/>
        </w:rPr>
        <w:t>COMBINED EXAMPLE</w:t>
      </w:r>
      <w:r>
        <w:rPr>
          <w:rtl w:val="0"/>
          <w:sz w:val="24"/>
          <w:szCs w:val="24"/>
        </w:rPr>
      </w:r>
    </w:p>
    <w:p>
      <w:pPr>
        <w:spacing w:before="0" w:after="20" w:line="240" w:lineRule="auto"/>
        <w:keepNext/>
      </w:pPr>
      <w:r>
        <w:rPr>
          <w:rFonts w:ascii="Georgia" w:hAnsi="Georgia" w:cs="Georgia" w:eastAsia="Georgia"/>
          <w:sz w:val="24"/>
          <w:szCs w:val="24"/>
        </w:rPr>
        <w:t xml:space="preserve">“The results </w:t>
      </w:r>
      <w:r>
        <w:rPr>
          <w:rFonts w:ascii="Georgia" w:hAnsi="Georgia" w:cs="Georgia" w:eastAsia="Georgia"/>
          <w:sz w:val="24"/>
          <w:szCs w:val="24"/>
          <w:shd w:val="clear" w:fill="FF9999" w:color="auto"/>
        </w:rPr>
        <w:t xml:space="preserve">suggested</w:t>
      </w:r>
      <w:r>
        <w:rPr>
          <w:rFonts w:ascii="Georgia" w:hAnsi="Georgia" w:cs="Georgia" w:eastAsia="Georgia"/>
          <w:sz w:val="24"/>
          <w:szCs w:val="24"/>
        </w:rPr>
        <w:t xml:space="preserve"> (Lexical, </w:t>
      </w:r>
      <w:r>
        <w:rPr>
          <w:rFonts w:ascii="Georgia" w:hAnsi="Georgia" w:cs="Georgia" w:eastAsia="Georgia"/>
          <w:sz w:val="24"/>
          <w:szCs w:val="24"/>
          <w:color w:val="ED7D31"/>
          <w:b/>
        </w:rPr>
        <w:t xml:space="preserve">EC</w:t>
      </w:r>
      <w:r>
        <w:rPr>
          <w:rFonts w:ascii="Georgia" w:hAnsi="Georgia" w:cs="Georgia" w:eastAsia="Georgia"/>
          <w:sz w:val="24"/>
          <w:szCs w:val="24"/>
        </w:rPr>
        <w:t xml:space="preserve">) that extracts are </w:t>
      </w:r>
      <w:r>
        <w:rPr>
          <w:rFonts w:ascii="Georgia" w:hAnsi="Georgia" w:cs="Georgia" w:eastAsia="Georgia"/>
          <w:sz w:val="24"/>
          <w:szCs w:val="24"/>
          <w:shd w:val="clear" w:fill="FF9999" w:color="auto"/>
        </w:rPr>
        <w:t xml:space="preserve">potential</w:t>
      </w:r>
      <w:r>
        <w:rPr>
          <w:rFonts w:ascii="Georgia" w:hAnsi="Georgia" w:cs="Georgia" w:eastAsia="Georgia"/>
          <w:sz w:val="24"/>
          <w:szCs w:val="24"/>
        </w:rPr>
        <w:t xml:space="preserve"> (Lexical, </w:t>
      </w:r>
      <w:r>
        <w:rPr>
          <w:rFonts w:ascii="Georgia" w:hAnsi="Georgia" w:cs="Georgia" w:eastAsia="Georgia"/>
          <w:sz w:val="24"/>
          <w:szCs w:val="24"/>
          <w:color w:val="ED7D31"/>
          <w:b/>
        </w:rPr>
        <w:t xml:space="preserve">EC</w:t>
      </w:r>
      <w:r>
        <w:rPr>
          <w:rFonts w:ascii="Georgia" w:hAnsi="Georgia" w:cs="Georgia" w:eastAsia="Georgia"/>
          <w:sz w:val="24"/>
          <w:szCs w:val="24"/>
        </w:rPr>
        <w:t xml:space="preserve">) alternative stains. As prior studies </w:t>
      </w:r>
      <w:r>
        <w:rPr>
          <w:rFonts w:ascii="Georgia" w:hAnsi="Georgia" w:cs="Georgia" w:eastAsia="Georgia"/>
          <w:sz w:val="24"/>
          <w:szCs w:val="24"/>
          <w:shd w:val="clear" w:fill="FF9999" w:color="auto"/>
        </w:rPr>
        <w:t xml:space="preserve">indicated</w:t>
      </w:r>
      <w:r>
        <w:rPr>
          <w:rFonts w:ascii="Georgia" w:hAnsi="Georgia" w:cs="Georgia" w:eastAsia="Georgia"/>
          <w:sz w:val="24"/>
          <w:szCs w:val="24"/>
        </w:rPr>
        <w:t xml:space="preserve"> (Lexical, </w:t>
      </w:r>
      <w:r>
        <w:rPr>
          <w:rFonts w:ascii="Georgia" w:hAnsi="Georgia" w:cs="Georgia" w:eastAsia="Georgia"/>
          <w:sz w:val="24"/>
          <w:szCs w:val="24"/>
          <w:color w:val="7030A0"/>
          <w:b/>
        </w:rPr>
        <w:t xml:space="preserve">P</w:t>
      </w:r>
      <w:r>
        <w:rPr>
          <w:rFonts w:ascii="Georgia" w:hAnsi="Georgia" w:cs="Georgia" w:eastAsia="Georgia"/>
          <w:sz w:val="24"/>
          <w:szCs w:val="24"/>
        </w:rPr>
        <w:t xml:space="preserve">), PCR </w:t>
      </w:r>
      <w:r>
        <w:rPr>
          <w:rFonts w:ascii="Georgia" w:hAnsi="Georgia" w:cs="Georgia" w:eastAsia="Georgia"/>
          <w:sz w:val="24"/>
          <w:szCs w:val="24"/>
          <w:strike/>
        </w:rPr>
        <w:t xml:space="preserve">can</w:t>
      </w:r>
      <w:r>
        <w:rPr>
          <w:rFonts w:ascii="Georgia" w:hAnsi="Georgia" w:cs="Georgia" w:eastAsia="Georgia"/>
          <w:sz w:val="24"/>
          <w:szCs w:val="24"/>
        </w:rPr>
        <w:t xml:space="preserve"> </w:t>
      </w:r>
      <w:r>
        <w:rPr>
          <w:rFonts w:ascii="Georgia" w:hAnsi="Georgia" w:cs="Georgia" w:eastAsia="Georgia"/>
          <w:sz w:val="24"/>
          <w:szCs w:val="24"/>
          <w:color w:val="808080"/>
        </w:rPr>
        <w:t xml:space="preserve">(FP-Cap)</w:t>
      </w:r>
      <w:r>
        <w:rPr>
          <w:rFonts w:ascii="Georgia" w:hAnsi="Georgia" w:cs="Georgia" w:eastAsia="Georgia"/>
          <w:sz w:val="24"/>
          <w:szCs w:val="24"/>
        </w:rPr>
        <w:t xml:space="preserve"> also detect low concentrations. Farmers </w:t>
      </w:r>
      <w:r>
        <w:rPr>
          <w:rFonts w:ascii="Georgia" w:hAnsi="Georgia" w:cs="Georgia" w:eastAsia="Georgia"/>
          <w:sz w:val="24"/>
          <w:szCs w:val="24"/>
          <w:strike/>
        </w:rPr>
        <w:t xml:space="preserve">should</w:t>
      </w:r>
      <w:r>
        <w:rPr>
          <w:rFonts w:ascii="Georgia" w:hAnsi="Georgia" w:cs="Georgia" w:eastAsia="Georgia"/>
          <w:sz w:val="24"/>
          <w:szCs w:val="24"/>
        </w:rPr>
        <w:t xml:space="preserve"> </w:t>
      </w:r>
      <w:r>
        <w:rPr>
          <w:rFonts w:ascii="Georgia" w:hAnsi="Georgia" w:cs="Georgia" w:eastAsia="Georgia"/>
          <w:sz w:val="24"/>
          <w:szCs w:val="24"/>
          <w:color w:val="808080"/>
        </w:rPr>
        <w:t xml:space="preserve">(FP-Rec)</w:t>
      </w:r>
      <w:r>
        <w:rPr>
          <w:rFonts w:ascii="Georgia" w:hAnsi="Georgia" w:cs="Georgia" w:eastAsia="Georgia"/>
          <w:sz w:val="24"/>
          <w:szCs w:val="24"/>
        </w:rPr>
        <w:t xml:space="preserve"> adopt the treatment. In conclusion, T3 produced the highest yield </w:t>
      </w:r>
      <w:r>
        <w:rPr>
          <w:rFonts w:ascii="Georgia" w:hAnsi="Georgia" w:cs="Georgia" w:eastAsia="Georgia"/>
          <w:sz w:val="24"/>
          <w:szCs w:val="24"/>
          <w:color w:val="808080"/>
        </w:rPr>
        <w:t xml:space="preserve">(FP framing)</w:t>
      </w:r>
      <w:r>
        <w:rPr>
          <w:rFonts w:ascii="Georgia" w:hAnsi="Georgia" w:cs="Georgia" w:eastAsia="Georgia"/>
          <w:sz w:val="24"/>
          <w:szCs w:val="24"/>
        </w:rPr>
        <w:t xml:space="preserve">. The treatment </w:t>
      </w:r>
      <w:r>
        <w:rPr>
          <w:rFonts w:ascii="Georgia" w:hAnsi="Georgia" w:cs="Georgia" w:eastAsia="Georgia"/>
          <w:sz w:val="24"/>
          <w:szCs w:val="24"/>
          <w:shd w:val="clear" w:fill="00B0F0" w:color="auto"/>
        </w:rPr>
        <w:t xml:space="preserve">may</w:t>
      </w:r>
      <w:r>
        <w:rPr>
          <w:rFonts w:ascii="Georgia" w:hAnsi="Georgia" w:cs="Georgia" w:eastAsia="Georgia"/>
          <w:sz w:val="24"/>
          <w:szCs w:val="24"/>
        </w:rPr>
        <w:t xml:space="preserve"> (Modal, </w:t>
      </w:r>
      <w:r>
        <w:rPr>
          <w:rFonts w:ascii="Georgia" w:hAnsi="Georgia" w:cs="Georgia" w:eastAsia="Georgia"/>
          <w:sz w:val="24"/>
          <w:szCs w:val="24"/>
          <w:color w:val="ED7D31"/>
          <w:b/>
        </w:rPr>
        <w:t xml:space="preserve">EC</w:t>
      </w:r>
      <w:r>
        <w:rPr>
          <w:rFonts w:ascii="Georgia" w:hAnsi="Georgia" w:cs="Georgia" w:eastAsia="Georgia"/>
          <w:sz w:val="24"/>
          <w:szCs w:val="24"/>
        </w:rPr>
        <w:t xml:space="preserve">) reduce infection rates.”</w:t>
      </w:r>
    </w:p>
    <w:p>
      <w:pPr>
        <w:spacing w:before="0" w:after="40" w:line="240" w:lineRule="auto"/>
      </w:pPr>
      <w:r>
        <w:rPr>
          <w:rFonts w:ascii="Georgia" w:hAnsi="Georgia"/>
          <w:sz w:val="20"/>
          <w:szCs w:val="20"/>
          <w:color w:val="404040"/>
        </w:rPr>
        <w:t xml:space="preserve">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1B4">
      <w:pPr>
        <w:spacing w:before="12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sz w:val="22"/>
          <w:szCs w:val="22"/>
          <w:rtl w:val="0"/>
        </w:rPr>
        <w:t>PURPOSE</w:t>
      </w:r>
      <w:r>
        <w:rPr>
          <w:rtl w:val="0"/>
          <w:sz w:val="22"/>
          <w:szCs w:val="22"/>
        </w:rPr>
      </w:r>
    </w:p>
    <w:p w:rsidR="00000000" w:rsidDel="00000000" w:rsidP="00000000" w:rsidRDefault="00000000" w:rsidRPr="00000000" w14:paraId="000001B6">
      <w:pPr>
        <w:spacing w:before="0" w:after="60"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60" w:line="360" w:lineRule="auto"/>
        <w:ind w:left="360" w:hanging="360"/>
        <w:jc w:val="both"/>
        <w:rPr/>
      </w:pPr>
      <w:r>
        <w:rPr>
          <w:rFonts w:ascii="Georgia" w:hAnsi="Georgia" w:cs="Georgia" w:eastAsia="Georgia"/>
          <w:i w:val="0"/>
          <w:iCs w:val="0"/>
          <w:color w:val="000000"/>
          <w:sz w:val="20"/>
          <w:szCs w:val="20"/>
          <w:rtl w:val="0"/>
        </w:rPr>
        <w:t xml:space="preserve">
        • Step 1 (wide net). After the holistic read, mark all possible hedge candidates. This step does not count retained hedges.
    </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tl w:val="0"/>
          <w:sz w:val="20"/>
          <w:szCs w:val="20"/>
        </w:rPr>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Step 2 (function by paired removal checks). Claim condition (both tests): a device can only be a hedge if it attaches to a claim. A claim is a statement about data, the world, or prior work that evidence could show to be wrong. Aims, directives, and routine procedure are excluded by kind, not by loose truth-evaluability. If the clause is not a claim, log the token as FP (with a reason code when useful: FP-Rec, FP-Gen, FP-Proc, or FP-Cap). Working Test: remove the device. Does the writer’s commitment to the claim’s truth go up? If yes → EC. Reader Test: remove the device. Does commitment to the truth stay the same, but the claim now reaches the reader more bluntly, or the writer takes sole ownership of it against prior work? If yes → P. Neither → FP (not a function). Both may hold on one token (EC+P). There is no required category pre-filter before these checks. Category codes label residual rejects after the claim condition or both tests fail.</w:t>
      </w:r>
    </w:p>
    <w:p w:rsidR="00000000" w:rsidDel="00000000" w:rsidP="00000000" w:rsidRDefault="00000000" w:rsidRPr="00000000" w14:paraId="000001BA">
      <w:pPr>
        <w:spacing w:before="0" w:after="60" w:line="360" w:lineRule="auto"/>
        <w:ind w:left="360" w:hanging="360"/>
        <w:jc w:val="both"/>
        <w:rPr/>
      </w:pPr>
      <w:r>
        <w:rPr>
          <w:rFonts w:ascii="Georgia" w:hAnsi="Georgia" w:cs="Georgia" w:eastAsia="Georgia"/>
          <w:i w:val="0"/>
          <w:iCs w:val="0"/>
          <w:sz w:val="20"/>
          <w:szCs w:val="20"/>
          <w:rtl w:val="0"/>
        </w:rPr>
        <w:t xml:space="preserve">• Working Test and Reader Test are the Step 2 function gate, after the claim condition. Every Step 1 candidate can be run through the claim condition and the two removal checks. Directives, aim statements, and procedural norms fail the claim condition and are logged FP without needing a prior sort. Category codes (FP-Rec, FP-Cap, FP-Proc, FP-Gen) explain the residual inventory. They do not replace the tests.</w:t>
      </w:r>
    </w:p>
    <w:p w:rsidR="00000000" w:rsidDel="00000000" w:rsidP="00000000" w:rsidRDefault="00000000" w:rsidRPr="00000000" w14:paraId="000001BB">
      <w:pPr>
        <w:spacing w:before="0" w:after="60" w:line="360" w:lineRule="auto"/>
        <w:ind w:left="360" w:hanging="360"/>
        <w:jc w:val="both"/>
        <w:rPr/>
      </w:pPr>
      <w:r>
        <w:rPr>
          <w:rFonts w:ascii="Georgia" w:hAnsi="Georgia" w:cs="Georgia" w:eastAsia="Georgia"/>
          <w:i w:val="0"/>
          <w:iCs w:val="0"/>
          <w:color w:val="000000"/>
          <w:sz w:val="20"/>
          <w:szCs w:val="20"/>
          <w:rtl w:val="0"/>
        </w:rPr>
        <w:t xml:space="preserve">• Step 3 (type). On retained P and EC tokens only, assign grammatical type (modal, lexical, adverbial, clause-level).</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tl w:val="0"/>
          <w:sz w:val="20"/>
          <w:szCs w:val="20"/>
        </w:rPr>
      </w:r>
    </w:p>
    <w:p w:rsidR="00000000" w:rsidDel="00000000" w:rsidP="00000000" w:rsidRDefault="00000000" w:rsidRPr="00000000" w14:paraId="000001BC">
      <w:pPr>
        <w:spacing w:before="0" w:after="60" w:line="360" w:lineRule="auto"/>
        <w:ind w:left="360" w:hanging="360"/>
        <w:jc w:val="both"/>
        <w:rPr/>
      </w:pPr>
      <w:r>
        <w:rPr>
          <w:rFonts w:ascii="Georgia" w:hAnsi="Georgia" w:cs="Georgia" w:eastAsia="Georgia"/>
          <w:i w:val="0"/>
          <w:iCs w:val="0"/>
          <w:sz w:val="20"/>
          <w:szCs w:val="20"/>
          <w:rtl w:val="0"/>
        </w:rPr>
        <w:t xml:space="preserve">• Order. Coding order: full abstract → Step 1 (wide net) → Step 2 (claim condition, then Working Test and Reader Test) → reason codes on rejects → Step 3 type on retained P and EC → Coder Notes. No mandatory category pre-filter before Step 2.</w:t>
      </w:r>
    </w:p>
    <w:p w:rsidR="00000000" w:rsidDel="00000000" w:rsidP="00000000" w:rsidRDefault="00000000" w:rsidRPr="00000000" w14:paraId="00000083">
      <w:pPr>
        <w:spacing w:before="40" w:after="14" w:line="360" w:lineRule="auto"/>
        <w:jc w:val="left"/>
        <w:rPr/>
      </w:pPr>
      <w:r>
        <w:rPr>
          <w:rFonts w:ascii="Georgia" w:hAnsi="Georgia" w:cs="Georgia" w:eastAsia="Georgia"/>
          <w:sz w:val="22"/>
          <w:szCs w:val="22"/>
          <w:rtl w:val="0"/>
          <w:b/>
          <w:bCs w:val="0"/>
        </w:rPr>
        <w:t xml:space="preserve">
        WORKING EXAMPLES: STEP 2 (WORKING TEST + READER TEST) AND STEP 3 TYPE
    </w:t>
      </w:r>
      <w:r>
        <w:rPr>
          <w:rtl w:val="0"/>
          <w:b w:val="1"/>
          <w:sz w:val="22"/>
          <w:szCs w:val="22"/>
        </w:rPr>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Function labels apply to retained hedges after Step 2. Only claim-attached devices can be EC or P. Working Test supports EC when commitment to the claim’s truth rises after removal. Reader Test supports P when truth commitment stays the same but the claim is blunter to the reader or the writer takes sole ownership against prior work.</w:t>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EC (Working Test): “The treatment may reduce infection rates.” Host clause is a claim about data or the world. Removing may raises commitment to the claim’s truth → EC.</w:t>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P (Reader Test): “As suggested by previous researchers, the treatment is effective.” Host clause is a claim. Removing the attribution leaves truth commitment the same but the writer takes sole ownership against prior work → P. By contrast, “Farmers should adopt the treatment” is a directive (excluded by kind) → FP-Rec.</w:t>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 P + EC: Both Working Test and Reader Test hold on one token → EC+P (or dominant label plus dual note in Coder Notes).
    </w:t>
      </w:r>
      <w:r>
        <w:rPr>
          <w:rtl w:val="0"/>
          <w:sz w:val="20"/>
          <w:szCs w:val="20"/>
        </w:rPr>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 FP: “In conclusion, T3 produced the highest yield.” Removing the frame changes neither truth-commitment nor interpersonal imposition toward readers/prior work → FP. Not a function label.
    </w:t>
      </w:r>
      <w:r>
        <w:rPr>
          <w:rtl w:val="0"/>
          <w:sz w:val="20"/>
          <w:szCs w:val="20"/>
        </w:rPr>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Frame + separate EC: “It should be noted that the results may indicate growth.” Code may via Working Test as EC. The frame alone fails the claim condition or both checks and is not a second hedge.</w:t>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Summary: Step 1 is wide. Step 2 uses a claim condition, then the Working Test (EC) and Reader Test (P). Non-claims fail the claim condition and are FP. Neither removal check met → FP (not a function). Step 3 assigns type to retained hedges only. In this corpus all 65 retained tokens were EC. No P forms appeared on claims. FP cases are inventoried separately with reason codes.</w:t>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60"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(not a function)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Reason codes for residual rejects after the claim condition or both removal checks fail. Use the table below when labeling an FP. These codes are not a pre-filter before Step 2.</w:t>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both"/>
        <w:rPr/>
      </w:pPr>
      <w:r>
        <w:rPr>
          <w:rFonts w:ascii="Georgia" w:hAnsi="Georgia" w:cs="Georgia" w:eastAsia="Georgia"/>
          <w:b/>
          <w:bCs w:val="1"/>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60" w:line="360" w:lineRule="auto"/>
        <w:ind w:left="360" w:hanging="36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60" w:line="360" w:lineRule="auto"/>
        <w:ind w:left="360" w:hanging="36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60" w:line="360" w:lineRule="auto"/>
        <w:ind w:left="360" w:hanging="36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60" w:line="360" w:lineRule="auto"/>
        <w:ind w:left="360" w:hanging="36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
        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not a function). Unhedged assertions = grey highlight + [G]/[C] bracket (warranted-but-absent caution only).
    </w:t>
      </w:r>
      <w:r>
        <w:rPr>
          <w:rFonts w:ascii="Georgia" w:hAnsi="Georgia" w:cs="Georgia" w:eastAsia="Georgia"/>
          <w:b w:val="0"/>
          <w:i w:val="0"/>
          <w:sz w:val="22"/>
          <w:color w:val="000000"/>
        </w:rPr>
        <w:t/>
      </w:r>
      <w:r>
        <w:rPr>
          <w:rFonts w:ascii="Georgia" w:hAnsi="Georgia" w:cs="Georgia" w:eastAsia="Georgia"/>
          <w:b w:val="0"/>
          <w:i w:val="0"/>
          <w:sz w:val="22"/>
        </w:rPr>
        <w:t xml:space="preserve"/>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