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absolute—agricultural work can be lab-based, biology can be field-based—but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writers—Philosophy and Psychology hedged more than Physics and History—yet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 xml:space="preserve">These findings are not necessarily contradictory. Afshar et al. and Mohammed compare different disciplinary pairings and use different hedge taxonomies—Afshar the full Salager-Meyer (1994) scheme, Mohammed a lexical-hedge focus—so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 xml:space="preserve">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 xml:space="preserve">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 xml:space="preserve">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 xml:space="preserve">4. What do the frequency and functional patterns suggest about the construction of epistemic stance through hedging among developing researchers?</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 xml:space="preserve">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for the cross-tabulation of type-function pairings that RQ4 required.</w:t>
      </w:r>
      <w:r>
        <w:rPr>
          <w:rtl w:val="0"/>
        </w:rPr>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b w:val="1"/>
          <w:bCs w:val="1"/>
          <w:rtl w:val="0"/>
        </w:rPr>
        <w:t xml:space="preserve">For writing instructors and thesis advisers at PSAU,</w:t>
      </w:r>
      <w:r>
        <w:rPr>
          <w:b w:val="0"/>
          <w:bCs w:val="0"/>
          <w:rtl w:val="0"/>
        </w:rPr>
        <w:t xml:space="preserve"> the study provides an empirical baseline of how developing researchers in three applied life sciences programs currently manage uncertainty in abstracts. That baseline can support more targeted feedback than generic advice to “be cautious.”</w:t>
      </w:r>
      <w:r>
        <w:rPr>
          <w:rtl w:val="0"/>
        </w:rPr>
      </w:r>
    </w:p>
    <w:p w:rsidR="00000000" w:rsidDel="00000000" w:rsidP="00000000" w:rsidRDefault="00000000" w:rsidRPr="00000000" w14:paraId="00000058">
      <w:pPr>
        <w:spacing w:before="0" w:after="0" w:line="480" w:lineRule="auto"/>
        <w:ind w:firstLine="720"/>
        <w:jc w:val="both"/>
        <w:rPr/>
      </w:pPr>
      <w:r>
        <w:rPr>
          <w:b w:val="1"/>
          <w:bCs w:val="1"/>
          <w:rtl w:val="0"/>
        </w:rPr>
        <w:t xml:space="preserve">For academic writing researchers,</w:t>
      </w:r>
      <w:r>
        <w:rPr>
          <w:b w:val="0"/>
          <w:bCs w:val="0"/>
          <w:rtl w:val="0"/>
        </w:rPr>
        <w:t xml:space="preserve"> it adds Philippine applied-science abstract data to a body of work that has drawn mainly from other regional and disciplinary settings.</w:t>
      </w:r>
      <w:r>
        <w:rPr>
          <w:rtl w:val="0"/>
        </w:rPr>
      </w:r>
    </w:p>
    <w:p w:rsidR="00000000" w:rsidDel="00000000" w:rsidP="00000000" w:rsidRDefault="00000000" w:rsidRPr="00000000" w14:paraId="00000059">
      <w:pPr>
        <w:spacing w:before="0" w:after="0" w:line="480" w:lineRule="auto"/>
        <w:ind w:firstLine="720"/>
        <w:jc w:val="both"/>
        <w:rPr/>
      </w:pPr>
      <w:r>
        <w:rPr>
          <w:b w:val="1"/>
          <w:bCs w:val="1"/>
          <w:rtl w:val="0"/>
        </w:rPr>
        <w:t xml:space="preserve">For the BAELS program,</w:t>
      </w:r>
      <w:r>
        <w:rPr>
          <w:b w:val="0"/>
          <w:bCs w:val="0"/>
          <w:rtl w:val="0"/>
        </w:rPr>
        <w:t xml:space="preserve"> it shows that corpus-assisted discourse analysis is a viable undergraduate thesis methodology and yields findings usable in local writing pedagogy.</w:t>
      </w:r>
      <w:r>
        <w:rPr>
          <w:rtl w:val="0"/>
        </w:rPr>
      </w:r>
    </w:p>
    <w:p w:rsidR="00000000" w:rsidDel="00000000" w:rsidP="00000000" w:rsidRDefault="00000000" w:rsidRPr="00000000" w14:paraId="0000005A">
      <w:pPr>
        <w:spacing w:before="0" w:after="0" w:line="480" w:lineRule="auto"/>
        <w:ind w:firstLine="720"/>
        <w:jc w:val="both"/>
        <w:rPr/>
      </w:pPr>
      <w:r>
        <w:rPr>
          <w:b w:val="1"/>
          <w:bCs w:val="1"/>
          <w:rtl w:val="0"/>
        </w:rPr>
        <w:t xml:space="preserve">For future researchers,</w:t>
      </w:r>
      <w:r>
        <w:rPr>
          <w:b w:val="0"/>
          <w:bCs w:val="0"/>
          <w:rtl w:val="0"/>
        </w:rPr>
        <w:t xml:space="preserve"> the sampling design, coding decision rules, and false-positive log offer a replicable protocol for similar corpus studies.</w:t>
      </w:r>
      <w:r>
        <w:rPr>
          <w:rtl w:val="0"/>
        </w:rPr>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 xml:space="preserve">This study focuses on undergraduate thesis abstracts from Agriculture, Veterinary Medicine, and Biology at PSAU, covering theses completed between 2023 and 2025. The corpus consists of 60 abstracts selected through disproportionate stratified systematic sampling, with discipline as the stratification variable and fixed analytical targets per stratum to ensure equal representation regardless of population size. The distribution includes Biology (n=20), Veterinary Medicine (n=20), and Agriculture (n=20). For the Agriculture discipline, the sample is equally split between Crop Science (n=10) and Animal Science (n=10) to ensure balanced representation of the sub-disciplines. These sub-programs are analyzed as a single “Agriculture” discipline for cross-disciplinary comparison, while sub-program differences are documented separately.</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 xml:space="preserve">This sample size is consistent with comparable corpus-assisted discourse studies at the undergraduate level. Khunasathitchai et al. (2025) analyzed 60 abstracts. Wang (2022) examined a much larger multi-field student corpus (829 papers across 16 fields); the present study does not claim comparable scale or design. For a manually coded functional analysis within a single institution, 60 texts provide sufficient data for identifying patterns without exceeding the analytical capacity of a BA thesis. The study treats its findings as indicative patterns within the PSAU context, supplemented by exploratory inferential analyses (chi-square, Kruskal-Wallis) whose results are reported transparently but should not be treated as confirmatory given the small, zero-inflated sample. However, pilot testing revealed that 75% of the sampled abstracts contained zero hedging devices. The pilot’s 75% zero-hedge rate was higher than the main corpus’s 41.7%, likely reflecting the small pilot sample size (4 abstracts) rather than a systematic difference between the pilot and main corpora. The study acknowledges the high likelihood of a zero-inflated dataset. While the absence of hedging prevents a robust comparative analysis of hedge variety, it is treated in this study as a valid indicator of categorical claim formulation rather than a methodological failure.</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tl w:val="0"/>
        </w:rPr>
        <w:t xml:space="preserve">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65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rsidR="00000000" w:rsidDel="00000000" w:rsidP="00000000" w:rsidRDefault="00000000" w:rsidRPr="00000000" w14:paraId="00000062">
      <w:pPr>
        <w:spacing w:before="0" w:after="0" w:line="480" w:lineRule="auto"/>
        <w:ind w:firstLine="720"/>
        <w:jc w:val="both"/>
        <w:rPr/>
      </w:pPr>
      <w:r>
        <w:rPr>
          <w:rtl w:val="0"/>
        </w:rPr>
        <w:t xml:space="preserve">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w:t>
      </w:r>
      <w:r>
        <w:rPr>
          <w:rFonts w:ascii="Georgia" w:cs="Georgia" w:eastAsia="Georgia" w:hAnsi="Georgia"/>
          <w:b w:val="0"/>
          <w:bCs w:val="0"/>
          <w:i w:val="0"/>
          <w:iCs w:val="0"/>
          <w:sz w:val="22"/>
          <w:szCs w:val="22"/>
          <w:rtl w:val="0"/>
        </w:rPr>
        <w:t xml:space="preserve">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coded in this study based on Hyland’s (1998) framework.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Pro Forma Hedging, </w:t>
      </w:r>
      <w:r>
        <w:rPr>
          <w:rFonts w:ascii="Georgia" w:cs="Georgia" w:eastAsia="Georgia" w:hAnsi="Georgia"/>
          <w:b w:val="0"/>
          <w:bCs w:val="0"/>
          <w:i w:val="0"/>
          <w:iCs w:val="0"/>
          <w:sz w:val="22"/>
          <w:szCs w:val="22"/>
          <w:rtl w:val="0"/>
        </w:rPr>
        <w:t xml:space="preserve">conceptually, pro forma hedging refers to the deployment of hedge-like lexical items (e.g., potential) in formulaic syntactic frames with limited commitment calibration to the claim. Operationally, this term is applied in the present study to the observed pattern where a single lexical token (“potential”) appears in nearly identical syntactic positions across multiple abstracts while all hedges serve a single function. The term is offered as a descriptive label, not as an established construct in the hedging literature.</w:t>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Hedging is not a standard component of academic writing curricula in most Philippine universities, which tend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cs="Georgia" w:eastAsia="Georgia" w:hAnsi="Georgia"/>
          <w:b w:val="1"/>
          <w:bCs w:val="1"/>
          <w:i w:val="0"/>
          <w:iCs w:val="0"/>
          <w:sz w:val="22"/>
          <w:szCs w:val="22"/>
          <w:rtl w:val="0"/>
        </w:rPr>
        <w:t xml:space="preserve">a. Requesting Permission. </w:t>
      </w:r>
      <w:r>
        <w:rPr>
          <w:rFonts w:ascii="Georgia" w:cs="Georgia" w:eastAsia="Georgia" w:hAnsi="Georgia"/>
          <w:b w:val="0"/>
          <w:bCs w:val="0"/>
          <w:i w:val="0"/>
          <w:iCs w:val="0"/>
          <w:sz w:val="22"/>
          <w:szCs w:val="22"/>
          <w:rtl w:val="0"/>
        </w:rPr>
        <w:t xml:space="preserve">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cs="Georgia" w:eastAsia="Georgia" w:hAnsi="Georgia"/>
          <w:b w:val="1"/>
          <w:bCs w:val="1"/>
          <w:i w:val="0"/>
          <w:iCs w:val="0"/>
          <w:sz w:val="22"/>
          <w:szCs w:val="22"/>
          <w:rtl w:val="0"/>
        </w:rPr>
        <w:t xml:space="preserve">b. Corpus Construction. </w:t>
      </w:r>
      <w:r>
        <w:rPr>
          <w:rFonts w:ascii="Georgia" w:cs="Georgia" w:eastAsia="Georgia" w:hAnsi="Georgia"/>
          <w:b w:val="0"/>
          <w:bCs w:val="0"/>
          <w:i w:val="0"/>
          <w:iCs w:val="0"/>
          <w:sz w:val="22"/>
          <w:szCs w:val="22"/>
          <w:rtl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 Animal Science, and n=10 for Agriculture —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cs="Georgia" w:eastAsia="Georgia" w:hAnsi="Georgia"/>
          <w:b w:val="1"/>
          <w:bCs w:val="1"/>
          <w:i w:val="0"/>
          <w:iCs w:val="0"/>
          <w:sz w:val="22"/>
          <w:szCs w:val="22"/>
          <w:rtl w:val="0"/>
        </w:rPr>
        <w:t xml:space="preserve">c. Text Extraction. </w:t>
      </w:r>
      <w:r>
        <w:rPr>
          <w:rFonts w:ascii="Georgia" w:cs="Georgia" w:eastAsia="Georgia" w:hAnsi="Georgia"/>
          <w:b w:val="0"/>
          <w:bCs w:val="0"/>
          <w:i w:val="0"/>
          <w:iCs w:val="0"/>
          <w:sz w:val="22"/>
          <w:szCs w:val="22"/>
          <w:rtl w:val="0"/>
        </w:rPr>
        <w:t xml:space="preserve">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cs="Georgia" w:eastAsia="Georgia" w:hAnsi="Georgia"/>
          <w:b w:val="1"/>
          <w:bCs w:val="1"/>
          <w:i w:val="0"/>
          <w:iCs w:val="0"/>
          <w:sz w:val="22"/>
          <w:szCs w:val="22"/>
          <w:rtl w:val="0"/>
        </w:rPr>
        <w:t xml:space="preserve">d. Pilot Testing and Reliability Checking. </w:t>
      </w:r>
      <w:r>
        <w:rPr>
          <w:rFonts w:ascii="Georgia" w:cs="Georgia" w:eastAsia="Georgia" w:hAnsi="Georgia"/>
          <w:b w:val="0"/>
          <w:bCs w:val="0"/>
          <w:i w:val="0"/>
          <w:iCs w:val="0"/>
          <w:sz w:val="22"/>
          <w:szCs w:val="22"/>
          <w:rtl w:val="0"/>
        </w:rPr>
        <w:t xml:space="preserve">A pilot test was conducted on 4 abstracts not included in the final corpus to refine the coding scheme and establish decision rules for ambiguous cases (see Appendix A). Pilot abstracts were drawn from the PSAU library archives but from theses completed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cs="Georgia" w:eastAsia="Georgia" w:hAnsi="Georgia"/>
          <w:b w:val="1"/>
          <w:bCs w:val="1"/>
          <w:i w:val="0"/>
          <w:iCs w:val="0"/>
          <w:sz w:val="22"/>
          <w:szCs w:val="22"/>
          <w:rtl w:val="0"/>
        </w:rPr>
        <w:t xml:space="preserve">e. Data Analysis. </w:t>
      </w:r>
      <w:r>
        <w:rPr>
          <w:rFonts w:ascii="Georgia" w:cs="Georgia" w:eastAsia="Georgia" w:hAnsi="Georgia"/>
          <w:b w:val="0"/>
          <w:bCs w:val="0"/>
          <w:i w:val="0"/>
          <w:iCs w:val="0"/>
          <w:sz w:val="22"/>
          <w:szCs w:val="22"/>
          <w:rtl w:val="0"/>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r>
        <w:rPr>
          <w:rtl w:val="0"/>
        </w:rPr>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results and conclusion frames that qualify a finding-claim are coded Lexical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treats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center"/>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1"/>
          <w:bCs w:val="1"/>
          <w:i w:val="0"/>
          <w:iCs w:val="0"/>
          <w:sz w:val="22"/>
          <w:szCs w:val="22"/>
          <w:rtl w:val="0"/>
        </w:rPr>
        <w:t xml:space="preserve">Inclusion Criteria. </w:t>
      </w:r>
      <w:r>
        <w:rPr>
          <w:rFonts w:ascii="Georgia" w:cs="Georgia" w:eastAsia="Georgia" w:hAnsi="Georgia"/>
          <w:b w:val="0"/>
          <w:bCs w:val="0"/>
          <w:i w:val="0"/>
          <w:iCs w:val="0"/>
          <w:sz w:val="22"/>
          <w:szCs w:val="22"/>
          <w:rtl w:val="0"/>
        </w:rPr>
        <w:t xml:space="preserve">English-language undergraduate thesis abstracts; complete abstracts available in the PSAU library archives; clear disciplinary classification based on official degree program; thesis completion between 2023 and 2025.</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1"/>
          <w:bCs w:val="1"/>
          <w:i w:val="0"/>
          <w:iCs w:val="0"/>
          <w:sz w:val="22"/>
          <w:szCs w:val="22"/>
          <w:rtl w:val="0"/>
        </w:rPr>
        <w:t xml:space="preserve">Exclusion Criteria. </w:t>
      </w:r>
      <w:r>
        <w:rPr>
          <w:rFonts w:ascii="Georgia" w:cs="Georgia" w:eastAsia="Georgia" w:hAnsi="Georgia"/>
          <w:b w:val="0"/>
          <w:bCs w:val="0"/>
          <w:i w:val="0"/>
          <w:iCs w:val="0"/>
          <w:sz w:val="22"/>
          <w:szCs w:val="22"/>
          <w:rtl w:val="0"/>
        </w:rPr>
        <w:t xml:space="preserve">Non-English abstracts or abstracts with significant Filipino code-switching; graduate-level theses; theses submitted under interdisciplinary degree programs (e.g., Environmental Science) where a single disciplinary affiliation cannot be determined; theses completed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Ethical Considerations. </w:t>
      </w:r>
      <w:r>
        <w:rPr>
          <w:rFonts w:ascii="Georgia" w:cs="Georgia" w:eastAsia="Georgia" w:hAnsi="Georgia"/>
          <w:b w:val="0"/>
          <w:bCs w:val="0"/>
          <w:i w:val="0"/>
          <w:iCs w:val="0"/>
          <w:sz w:val="22"/>
          <w:szCs w:val="22"/>
          <w:rtl w:val="0"/>
        </w:rPr>
        <w:t xml:space="preserve">Abstracts were accessed on-site at the PSAU Library with proper authorization. Student names and thesis titles were fully anonymized using discipline codes (Acs1–Acs10, Aas1–Aas10, VM1–VM20, B1–B20) before analysis began. The study analyzed linguistic patterns in text, not student performance or personal information. All data files were stored on password-protected devices and encrypted cloud storage accessible only to the researcher and thesis adviser. These files will be retained for five years to support verification of coding decisions by future researchers and to allow for follow-up comparative studies, after which they will be permanently deleted in line with standard academic data retention practice.</w:t>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what the frequency and functional patterns suggest about the discipline-specific hedging profile of developing researchers.</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center"/>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included “suggests” (7), “suggest” (3), “suggesting” (3), and “indicating” (2). Modal verbs were led by “can” (6), “could” (6), “may” (6), and “might” (3). Concordance of the 19 potential instances shows recurring frames such as “the potential of X as a Y,” “has potential as an X,” and “highlight their potential as X.” That recurrence supports reading many uses as learned formula rather than fully calibrated epistemic choice. Agriculture and Biology account for 15 of the 19 instances; Veterinary Medicine for 4.</w:t>
      </w:r>
      <w:r>
        <w:rPr>
          <w:rtl w:val="0"/>
        </w:rPr>
      </w:r>
    </w:p>
    <w:p w:rsidR="00000000" w:rsidDel="00000000" w:rsidP="00000000" w:rsidRDefault="00000000" w:rsidRPr="00000000" w14:paraId="000000E3">
      <w:pPr>
        <w:spacing w:before="0" w:after="0" w:line="480" w:lineRule="auto"/>
        <w:ind w:firstLine="720"/>
        <w:jc w:val="both"/>
        <w:rPr/>
      </w:pPr>
      <w:r>
        <w:rPr>
          <w:rFonts w:ascii="Georgia" w:cs="Georgia" w:eastAsia="Georgia" w:hAnsi="Georgia"/>
          <w:b w:val="0"/>
          <w:bCs w:val="0"/>
          <w:i w:val="0"/>
          <w:iCs w:val="0"/>
          <w:sz w:val="22"/>
          <w:szCs w:val="22"/>
          <w:rtl w:val="0"/>
        </w:rPr>
        <w:t xml:space="preserve">The distribution of hedge types also varies meaningfully across disciplines. Table 3 presents the per-discipline breakdown of hedge types.</w:t>
      </w:r>
      <w:r>
        <w:rPr>
          <w:rtl w:val="0"/>
        </w:rPr>
      </w:r>
    </w:p>
    <w:p>
      <w:pPr>
        <w:keepNext w:val="1"/>
        <w:keepLines w:val="1"/>
        <w:spacing w:before="720" w:after="0" w:line="480" w:lineRule="auto"/>
        <w:jc w:val="center"/>
      </w:pPr>
      <w:r>
        <w:rPr>
          <w:rFonts w:ascii="Georgia" w:hAnsi="Georgia"/>
          <w:b/>
          <w:sz w:val="24"/>
        </w:rPr>
        <w:t>Table 3</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cs="Georgia" w:eastAsia="Georgia" w:hAnsi="Georgia"/>
          <w:b w:val="0"/>
          <w:bCs w:val="0"/>
          <w:i w:val="0"/>
          <w:iCs w:val="0"/>
          <w:sz w:val="22"/>
          <w:szCs w:val="22"/>
          <w:rtl w:val="0"/>
        </w:rPr>
        <w:t xml:space="preserve">Table 3 reveals that Agriculture has a nearly balanced distribution (14 modal verbs, 51.9% vs. 13 lexical hedges, 48.1%), while Biology is heavily lexical (20 of 28 hedges, 71.4%, with only 5 modal verbs). Veterinary Medicine, with only 10 total hedges, is also predominantly lexical (8 of 10, 80.0%). This pattern suggests that Agriculture is the only discipline where modal verbs are used with any frequency, possibly reflecting a rhetorical style where writers are more comfortable expressing possibility directly through modal constructions. Biology’s heavy reliance on lexical hedges, particularly “potential,” suggests a preference for qualifying implications at the word level rather than managing uncertainty through modal verbs. The near-absence of adverbial hedges across all disciplines (only 3 instances, all in Biology) further confirms the narrowness of the hedging repertoire in this corpus.</w:t>
      </w:r>
      <w:r>
        <w:rPr>
          <w:rtl w:val="0"/>
        </w:rPr>
      </w:r>
    </w:p>
    <w:p w:rsidR="00000000" w:rsidDel="00000000" w:rsidP="00000000" w:rsidRDefault="00000000" w:rsidRPr="00000000" w14:paraId="0000010B">
      <w:pPr>
        <w:spacing w:before="0" w:after="0" w:line="480" w:lineRule="auto"/>
        <w:ind w:firstLine="720"/>
        <w:jc w:val="both"/>
        <w:rPr/>
      </w:pPr>
      <w:r>
        <w:rPr>
          <w:rFonts w:ascii="Georgia" w:cs="Georgia" w:eastAsia="Georgia" w:hAnsi="Georgia"/>
          <w:b w:val="0"/>
          <w:bCs w:val="0"/>
          <w:i w:val="0"/>
          <w:iCs w:val="0"/>
          <w:sz w:val="22"/>
          <w:szCs w:val="22"/>
          <w:rtl w:val="0"/>
        </w:rPr>
        <w:t xml:space="preserve">The absence of clause-level hedges is consistent with findings that developing researchers rarely use complex syntactic structures for epistemic management (Hyland &amp; Milton, 1997). Clause-level hedges such as “it seems that” or “it is possible that” require a degree of syntactic sophistication and rhetorical awareness that these researchers may not yet have developed. Their absence in this corpus suggests that PSAU researchers rely on simpler, word-level devices rather than clause-level constructions to manage uncertainty.</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after applying the codebook’s Working Test.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Working Test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cs="Georgia" w:eastAsia="Georgia" w:hAnsi="Georgia"/>
          <w:b w:val="0"/>
          <w:bCs w:val="0"/>
          <w:i w:val="0"/>
          <w:iCs w:val="0"/>
          <w:sz w:val="22"/>
          <w:szCs w:val="22"/>
          <w:rtl w:val="0"/>
        </w:rPr>
        <w:t>Additionally, 32 unhedged assertion sites were identified in the 25 zero-hedge abstracts. Of these, 20 were classified as result claims [R], 8 as generalizations [G], and 4 as causal claims [C]. (Five further unhedged sites appear in abstracts that also contain coded hedges (B11, B12, VM9) and are excluded from this zero-hedge count; Table 4’s L3 column reports the corpus-wide total of 37.) These sites represent clauses where a hedge could have been inserted without changing the underlying facts, but no hedge was used. The presence of these unhedged sites in zero-hedge abstracts records an absence of overt hedging; it does not by itself establish that the writer intended absolute commitment, especially where the underlying finding is binary or measured. Expert research articles rarely contain zero hedges (Hyland, 1998), making the 41.7% zero-hedge rate in this corpus a sharp departure from expert norms.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and the count was not run on the hedged abstracts, so no comparison group exists. The observation is descriptive only: some zero-hedge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cs="Georgia" w:eastAsia="Georgia" w:hAnsi="Georgia"/>
          <w:b w:val="0"/>
          <w:bCs w:val="0"/>
          <w:i w:val="0"/>
          <w:iCs w:val="0"/>
          <w:sz w:val="22"/>
          <w:szCs w:val="22"/>
          <w:rtl w:val="0"/>
        </w:rPr>
        <w:t xml:space="preserve">Cross-disciplinary comparison reveals substantial variation in hedge density. Table 4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 xml:space="preserve">L3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4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ungsuh" w:cs="Gungsuh" w:eastAsia="Gungsuh" w:hAnsi="Gungsuh"/>
          <w:b w:val="0"/>
          <w:bCs w:val="0"/>
          <w:i w:val="0"/>
          <w:iCs w:val="0"/>
          <w:sz w:val="22"/>
          <w:szCs w:val="22"/>
          <w:rtl w:val="0"/>
        </w:rPr>
        <w:t>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counts yielded H ≈ 6.84, p ≈ .033. Given the small sample size and zero-inflated distribution, this result is treated as exploratory rather than as confirmatory evidence of a disciplinary difference. With only 65 tokens across three groups and no correction for multiple tests, the p-values are fragile. A sensitivity check that removes all 19 instances of "potential" leaves 46 hedges; the Kruskal-Wallis contrast remains significant in the same direction (approximately p ≈ .025), and Veterinary Medicine’s zero-hedge share rises further. The directional pattern is therefore not an artifact of the "potential" tokens alone.</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 xml:space="preserve">Veterinary Medicine’s low density is more difficult to interpret. One possible explanation relates to the nature of VM research in this corpus. Many VM abstracts reported clinical findings from animal studies (e.g., drug efficacy trials, disease detection, hematological profiling). Several abstracts in the VM subset involved diagnostic or presence/absence-type outcomes, which may provide one possible explanation for the relatively categorical reporting observed in this corpus. A writer who finds that “no positive results were observed” may see little need to hedge, since the absence of a finding is reported as a fact rather than an interpretation. This is consistent with Salager-Meyer’s (1994) claim-responsibility framework: when the evidence is binary, the epistemic responsibility is lower, and hedging becomes less necessary.</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All 65 hedge tokens in the corpus served the function of Epistemic Caution (EC). No instances of Politeness/Deference (P) or Discourse Organization (DO) were identified. Table 5 presents the function distribution.</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center"/>
      </w:pPr>
      <w:r>
        <w:rPr>
          <w:rFonts w:ascii="Georgia" w:hAnsi="Georgia"/>
          <w:sz w:val="24"/>
        </w:rPr>
        <w:t>Hedge Function Distribution</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 xml:space="preserve">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tl w:val="0"/>
        </w:rPr>
        <w:t xml:space="preserve">The uniform assignment may reflect a restricted repertoire, the compressed abstract genre, the coding scheme, or single-rater interpretation; that limitation is noted in Scope. The narrow functional range is consistent with earlier findings on developing L2 writers (Hyland &amp; Milton, 1997).</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fall in implication and conclusion sentences rather than in direct results reporting. Forms such as potential and 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That uniformity is partly built into the Working Test, which screens for epistemic effect; the data therefore cannot strongly support a claim about how writers “view” hedging, only that the retained tokens functioned epistemically under this scheme.</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IV: DISCIPLINE-SPECIFIC HEDGING PROFILES</w:t>
      </w:r>
      <w:r>
        <w:rPr>
          <w:rtl w:val="0"/>
        </w:rPr>
      </w:r>
    </w:p>
    <w:p w:rsidR="00000000" w:rsidDel="00000000" w:rsidP="00000000" w:rsidRDefault="00000000" w:rsidRPr="00000000" w14:paraId="00000160">
      <w:pPr>
        <w:spacing w:before="0" w:after="0" w:line="480" w:lineRule="auto"/>
        <w:ind w:firstLine="720"/>
        <w:jc w:val="both"/>
        <w:rPr/>
      </w:pPr>
      <w:r>
        <w:rPr>
          <w:rFonts w:ascii="Gungsuh" w:cs="Gungsuh" w:eastAsia="Gungsuh" w:hAnsi="Gungsuh"/>
          <w:rtl w:val="0"/>
        </w:rPr>
        <w:t xml:space="preserve">Parts I through III show three observable patterns in this corpus. As reported in Part II, an exploratory Kruskal-Wallis test reached p ≈ .033; the chi-square on zero-hedge rates was p = .079, so the labels below are exploratory descriptions of what was observed here, not stable discipline-level characteristics. Generalization beyond this corpus is not warranted. The patterns are read through Salager-Meyer’s (1994) claim-responsibility framework and Hyland’s (2005) stance model.</w:t>
      </w:r>
    </w:p>
    <w:p w:rsidR="00000000" w:rsidDel="00000000" w:rsidP="00000000" w:rsidRDefault="00000000" w:rsidRPr="00000000" w14:paraId="00000161">
      <w:pPr>
        <w:spacing w:before="0" w:after="0" w:line="480" w:lineRule="auto"/>
        <w:ind w:firstLine="720"/>
        <w:jc w:val="both"/>
        <w:rPr/>
      </w:pPr>
      <w:r>
        <w:rPr>
          <w:rtl w:val="0"/>
        </w:rPr>
        <w:t xml:space="preserve">Agriculture: An observed pattern suggestive of cautious implication, though outlier-dependent. As noted in Part II, the Agriculture–Biology density contrast is sensitive to Acs2 and is better treated as marginal than as a stable ranking. Within that caveat, the near balance of modal verbs and lexical hedges in this subset, and the clustering of tokens such as potential and suggests in conclusion sentences, point to hedging of practical implications rather than of measured results. That reading fits Salager-Meyer’s (1994) distributed claim responsibility: the finding is stated with certainty; the application is softened. It may also reflect the practical orientation of agricultural research in this corpus.</w:t>
      </w:r>
    </w:p>
    <w:p w:rsidR="00000000" w:rsidDel="00000000" w:rsidP="00000000" w:rsidRDefault="00000000" w:rsidRPr="00000000" w14:paraId="00000162">
      <w:pPr>
        <w:spacing w:before="0" w:after="0" w:line="480" w:lineRule="auto"/>
        <w:ind w:firstLine="720"/>
        <w:jc w:val="both"/>
        <w:rPr/>
      </w:pPr>
      <w:r>
        <w:rPr>
          <w:rFonts w:ascii="Georgia" w:cs="Georgia" w:eastAsia="Georgia" w:hAnsi="Georgia"/>
          <w:b w:val="0"/>
          <w:bCs w:val="0"/>
          <w:i w:val="0"/>
          <w:iCs w:val="0"/>
          <w:sz w:val="22"/>
          <w:szCs w:val="22"/>
          <w:rtl w:val="0"/>
        </w:rPr>
        <w:t xml:space="preserve">Biology: A pattern suggestive of lexical caution with topic-naming. Biology’s density sits close to Agriculture’s overall rate (Part II), but its hedges are predominantly lexical, with potential often appearing in aim statements as topic-naming rather than as a hedge on a claim (see also the false-positive discussion in Part II). When potential is retained as a hedge, it usually softens an implication. The profile is less about sparse reporting than about a narrow set of lexical forms doing most of the work.</w:t>
      </w:r>
      <w:r>
        <w:rPr>
          <w:rtl w:val="0"/>
        </w:rPr>
      </w:r>
    </w:p>
    <w:p w:rsidR="00000000" w:rsidDel="00000000" w:rsidP="00000000" w:rsidRDefault="00000000" w:rsidRPr="00000000" w14:paraId="00000163">
      <w:pPr>
        <w:spacing w:before="0" w:after="0" w:line="480" w:lineRule="auto"/>
        <w:ind w:firstLine="720"/>
        <w:jc w:val="both"/>
        <w:rPr/>
      </w:pPr>
      <w:r>
        <w:rPr>
          <w:rFonts w:ascii="Georgia" w:cs="Georgia" w:eastAsia="Georgia" w:hAnsi="Georgia"/>
          <w:b w:val="0"/>
          <w:bCs w:val="0"/>
          <w:i w:val="0"/>
          <w:iCs w:val="0"/>
          <w:sz w:val="22"/>
          <w:szCs w:val="22"/>
          <w:rtl w:val="0"/>
        </w:rPr>
        <w:t xml:space="preserve">Veterinary Medicine: A pattern suggestive of assertive reporting. Part II already shows VM’s low density and high zero-hedge share. In this subset, factive verbs (showed, revealed, demonstrated, confirmed) often carry results without qualification. Several abstracts report diagnostic or presence/absence outcomes, where a binary finding can reasonably be stated as fact. The same categorical tone often extends to implications. The contrast with Agriculture and Biology is the clearest disciplinary difference in the corpus, though whether it reflects field norms, adviser expectations, or outcome type remains open.</w:t>
      </w:r>
      <w:r>
        <w:rPr>
          <w:rtl w:val="0"/>
        </w:rPr>
      </w:r>
    </w:p>
    <w:p w:rsidR="00000000" w:rsidDel="00000000" w:rsidP="00000000" w:rsidRDefault="00000000" w:rsidRPr="00000000" w14:paraId="00000164">
      <w:pPr>
        <w:spacing w:before="0" w:after="0" w:line="480" w:lineRule="auto"/>
        <w:ind w:firstLine="720"/>
        <w:jc w:val="both"/>
        <w:rPr/>
      </w:pPr>
      <w:r>
        <w:rPr>
          <w:rFonts w:ascii="Georgia" w:cs="Georgia" w:eastAsia="Georgia" w:hAnsi="Georgia"/>
          <w:b w:val="0"/>
          <w:bCs w:val="0"/>
          <w:i w:val="0"/>
          <w:iCs w:val="0"/>
          <w:sz w:val="22"/>
          <w:szCs w:val="22"/>
          <w:rtl w:val="0"/>
        </w:rPr>
        <w:t xml:space="preserve">Across the three disciplines, Veterinary Medicine’s sparse, assertive profile is the most robust contrast in this corpus. The Agriculture–Biology difference is marginal and partly outlier-driven. Whether these patterns reflect internalized field norms or local supervisory practice cannot be settled from the texts alone.</w:t>
      </w:r>
      <w:r>
        <w:rPr>
          <w:rtl w:val="0"/>
        </w:rPr>
      </w:r>
    </w:p>
    <w:p w:rsidR="00000000" w:rsidDel="00000000" w:rsidP="00000000" w:rsidRDefault="00000000" w:rsidRPr="00000000" w14:paraId="00000165">
      <w:pPr>
        <w:spacing w:before="0" w:after="0" w:line="480" w:lineRule="auto"/>
        <w:ind w:firstLine="720"/>
        <w:jc w:val="both"/>
        <w:rPr/>
      </w:pPr>
      <w:r>
        <w:rPr>
          <w:rFonts w:ascii="Georgia" w:cs="Georgia" w:eastAsia="Georgia" w:hAnsi="Georgia"/>
          <w:b w:val="0"/>
          <w:bCs w:val="0"/>
          <w:i w:val="0"/>
          <w:iCs w:val="0"/>
          <w:sz w:val="22"/>
          <w:szCs w:val="22"/>
          <w:rtl w:val="0"/>
        </w:rPr>
        <w:t xml:space="preserve">As noted in Part III, 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tl w:val="0"/>
        </w:rPr>
      </w:r>
    </w:p>
    <w:p w:rsidR="00000000" w:rsidDel="00000000" w:rsidP="00000000" w:rsidRDefault="00000000" w:rsidRPr="00000000" w14:paraId="00000166">
      <w:pPr>
        <w:spacing w:before="0" w:after="0" w:line="480" w:lineRule="auto"/>
        <w:ind w:firstLine="720"/>
        <w:jc w:val="both"/>
        <w:rPr/>
      </w:pPr>
      <w:r>
        <w:rPr>
          <w:rFonts w:ascii="Georgia" w:cs="Georgia" w:eastAsia="Georgia" w:hAnsi="Georgia"/>
          <w:b w:val="0"/>
          <w:bCs w:val="0"/>
          <w:i w:val="0"/>
          <w:iCs w:val="0"/>
          <w:sz w:val="22"/>
          <w:szCs w:val="22"/>
          <w:rtl w:val="0"/>
        </w:rPr>
        <w:t xml:space="preserve">However, the study cannot determine whether these disciplinary patterns reflect genuine epistemic norms internalized by developing researchers or simply the conventions enforced by faculty advisers during thesis supervision. As noted in the scope and limitations, undergraduate theses are heavily supervised, and observed patterns reflect departmental standards as much as individual writer choices. The findings are descriptive of the textual artifacts produced at PSAU, not of the cognitive processes of individual writers.</w:t>
      </w:r>
      <w:r>
        <w:rPr>
          <w:rtl w:val="0"/>
        </w:rPr>
      </w:r>
    </w:p>
    <w:p w:rsidR="00000000" w:rsidDel="00000000" w:rsidP="00000000" w:rsidRDefault="00000000" w:rsidRPr="00000000" w14:paraId="00000167">
      <w:pPr>
        <w:spacing w:before="0" w:after="0" w:line="480" w:lineRule="auto"/>
        <w:ind w:firstLine="720"/>
        <w:jc w:val="both"/>
        <w:rPr/>
      </w:pPr>
      <w:r>
        <w:rPr>
          <w:rtl w:val="0"/>
        </w:rPr>
        <w:t xml:space="preserve">Three observations support a descriptive label of pro forma hedging, not a confirmed construct: (1) potential accounts for a large share of lexical hedges and recurs in near-identical frames (Part I); (2) all retained hedges serve a single function (Part III); (3) 25 of 60 abstracts contain no hedges at all (Part II). These tokens are counted as hedges by form, position, and Working Test. “Pro forma” describes how they behave in the corpus (formulaic frames, single function, limited commitment calibration), not a claim that they fail the Working Test or should be excluded from density. When hedging appears, it often looks like a learned lexical shell rather than calibrated stance. The label aligns with Demir’s (2018) account of L2 underuse and Petchkij’s (2019) observation that instruction can raise frequency without fully expanding functional range. It remains a hypothesis for replication with inter-rater coding and expert-abstract comparison.</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formulaic potential. Density is highest in Agriculture and Biology (near-tied), then Veterinary Medicine, with 25 of 60 abstracts (41.7%) containing no coded hedges. Every retained hedge was coded as Epistemic Caution.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ungsuh" w:cs="Gungsuh" w:eastAsia="Gungsuh" w:hAnsi="Gungsuh"/>
          <w:b w:val="0"/>
          <w:bCs w:val="0"/>
          <w:i w:val="0"/>
          <w:iCs w:val="0"/>
          <w:sz w:val="22"/>
          <w:szCs w:val="22"/>
          <w:rtl w:val="0"/>
        </w:rPr>
        <w:t xml:space="preserve">Disciplinary differentiation is present but uneven. Veterinary Medicine’s sparse, assertive profile is the clearest contrast. Agriculture’s edge over Biology is modest and outlier-sensitive. The patterns are consistent with field-specific epistemic demands (Salager-Meyer, 1994) among developing writers, but statistical evidence is exploratory (Kruskal-Wallis p ≈ .033) and the sample is small. The study provides a local baseline, not a general law.</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 xml:space="preserve">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Instruction should also distinguish topic-naming potential in aim statements from epistemic potential in conclusions, without treating hedging as a quota to fill.</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whether the disciplinary patterns observed in this study persist across multiple institutions and </w:t>
      </w:r>
      <w:r>
        <w:rPr>
          <w:rtl w:val="0"/>
        </w:rPr>
        <w:t xml:space="preserve">groups</w:t>
      </w:r>
      <w:r>
        <w:rPr>
          <w:rFonts w:ascii="Georgia" w:cs="Georgia" w:eastAsia="Georgia" w:hAnsi="Georgia"/>
          <w:b w:val="0"/>
          <w:bCs w:val="0"/>
          <w:i w:val="0"/>
          <w:iCs w:val="0"/>
          <w:sz w:val="22"/>
          <w:szCs w:val="22"/>
          <w:rtl w:val="0"/>
        </w:rPr>
        <w:t xml:space="preserve">. A multi-institutional comparison involving other Philippine state universities would help determine whether the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this would support the binary-outcome interpretation. If VM advisers do not address hedging at all, this would support the awareness-deficit interpretation.</w:t>
      </w:r>
      <w:r>
        <w:rPr>
          <w:rtl w:val="0"/>
        </w:rPr>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left"/>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left"/>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left"/>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left"/>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rsidR="00000000" w:rsidDel="00000000" w:rsidP="00000000" w:rsidRDefault="00000000" w:rsidRPr="00000000" w14:paraId="0000018B">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left"/>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left"/>
        <w:rPr/>
      </w:pPr>
      <w:r>
        <w:rPr>
          <w:rFonts w:ascii="Georgia" w:cs="Georgia" w:eastAsia="Georgia" w:hAnsi="Georgia"/>
          <w:b w:val="0"/>
          <w:bCs w:val="0"/>
          <w:i w:val="0"/>
          <w:iCs w:val="0"/>
          <w:sz w:val="22"/>
          <w:szCs w:val="22"/>
          <w:rtl w:val="0"/>
        </w:rPr>
        <w:t xml:space="preserve">Khunasathitchai, K., Sittironnarit, S., Sinturat, T., &amp; Kumdee, S. (2025). Move analysis and hedge use in the research paper abstracts of Thai EFL English-majored undergraduates. </w:t>
      </w:r>
      <w:r>
        <w:rPr>
          <w:rFonts w:ascii="Georgia" w:cs="Georgia" w:eastAsia="Georgia" w:hAnsi="Georgia"/>
          <w:b w:val="0"/>
          <w:bCs w:val="0"/>
          <w:i w:val="1"/>
          <w:iCs w:val="1"/>
          <w:sz w:val="22"/>
          <w:szCs w:val="22"/>
          <w:rtl w:val="0"/>
        </w:rPr>
        <w:t>rEFLections, 32(2), 951–973.</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90">
      <w:pPr>
        <w:spacing w:before="0" w:after="0" w:line="480" w:lineRule="auto"/>
        <w:ind w:left="720" w:hanging="720"/>
        <w:jc w:val="left"/>
        <w:rPr/>
      </w:pPr>
      <w:r>
        <w:rPr>
          <w:rFonts w:ascii="Georgia" w:cs="Georgia" w:eastAsia="Georgia" w:hAnsi="Georgia"/>
          <w:b w:val="0"/>
          <w:bCs w:val="0"/>
          <w:i w:val="0"/>
          <w:iCs w:val="0"/>
          <w:sz w:val="22"/>
          <w:szCs w:val="22"/>
          <w:rtl w:val="0"/>
        </w:rPr>
        <w:t>https://doi.org/10.61508/refl.v32i2.282512</w:t>
      </w:r>
      <w:r>
        <w:rPr>
          <w:rtl w:val="0"/>
        </w:rPr>
      </w:r>
    </w:p>
    <w:p w:rsidR="00000000" w:rsidDel="00000000" w:rsidP="00000000" w:rsidRDefault="00000000" w:rsidRPr="00000000" w14:paraId="00000192">
      <w:pPr>
        <w:spacing w:before="0" w:after="0" w:line="480" w:lineRule="auto"/>
        <w:ind w:left="720" w:hanging="720"/>
        <w:jc w:val="left"/>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pPr>
        <w:spacing w:before="0" w:after="0" w:line="480" w:lineRule="auto"/>
        <w:ind w:left="720" w:hanging="720"/>
        <w:jc w:val="left"/>
        <w:rPr/>
      </w:pPr>
      <w:r>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https://doi.org/10.47772/IJRISS.2025.91100485</w:t>
      </w:r>
    </w:p>
    <w:p w:rsidR="00000000" w:rsidDel="00000000" w:rsidP="00000000" w:rsidRDefault="00000000" w:rsidRPr="00000000" w14:paraId="00000193">
      <w:pPr>
        <w:spacing w:before="0" w:after="0" w:line="480" w:lineRule="auto"/>
        <w:ind w:left="720" w:hanging="720"/>
        <w:jc w:val="left"/>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left"/>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left"/>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left"/>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left"/>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left"/>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Lines w:val="1"/>
        <w:pageBreakBefore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both"/>
        <w:rPr/>
      </w:pPr>
      <w:r>
        <w:rPr/>
        <w:t xml:space="preserve">This appendix is the full coding protocol used for the study. It opens with a one-page quick-reference, then a one-page legend and coding-sheet section, then the operational layers, decision rules, false-positive categories, and recording conventions.</w:t>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both"/>
        <w:rPr/>
      </w:pPr>
      <w:r>
        <w:rPr>
          <w:rFonts w:ascii="Georgia" w:cs="Cardo" w:eastAsia="Cardo" w:hAnsi="Georgia"/>
          <w:sz w:val="24"/>
          <w:szCs w:val="24"/>
          <w:rtl w:val="0"/>
          <w:i/>
          <w:iCs/>
        </w:rPr>
        <w:t xml:space="preserve">suggest / indicate → hedge when introducing a finding; not a hedge when introducing a recommendation.</w:t>
      </w:r>
      <w:r>
        <w:rPr>
          <w:rtl w:val="0"/>
          <w:rFonts w:ascii="Georgia" w:hAnsi="Georgia"/>
          <w:sz w:val="24"/>
          <w:szCs w:val="24"/>
          <w:i/>
          <w:iCs/>
        </w:rPr>
      </w:r>
    </w:p>
    <w:p w:rsidR="00000000" w:rsidDel="00000000" w:rsidP="00000000" w:rsidRDefault="00000000" w:rsidRPr="00000000" w14:paraId="000001AF">
      <w:pPr>
        <w:spacing w:before="0" w:after="0" w:line="240" w:lineRule="auto"/>
        <w:ind w:left="240" w:firstLine="720"/>
        <w:jc w:val="both"/>
        <w:rPr/>
      </w:pPr>
      <w:r>
        <w:rPr>
          <w:rFonts w:ascii="Georgia" w:cs="Cardo" w:eastAsia="Cardo" w:hAnsi="Georgia"/>
          <w:sz w:val="24"/>
          <w:szCs w:val="24"/>
          <w:rtl w:val="0"/>
          <w:i/>
          <w:iCs/>
        </w:rPr>
        <w:t xml:space="preserve">can / may → hedge when marking possibility; not a hedge when marking capability.</w:t>
      </w:r>
      <w:r>
        <w:rPr>
          <w:rtl w:val="0"/>
          <w:rFonts w:ascii="Georgia" w:hAnsi="Georgia"/>
          <w:sz w:val="24"/>
          <w:szCs w:val="24"/>
          <w:i/>
          <w:iCs/>
        </w:rPr>
      </w:r>
    </w:p>
    <w:p w:rsidR="00000000" w:rsidDel="00000000" w:rsidP="00000000" w:rsidRDefault="00000000" w:rsidRPr="00000000" w14:paraId="000001B0">
      <w:pPr>
        <w:spacing w:before="0" w:after="0" w:line="240" w:lineRule="auto"/>
        <w:ind w:left="240" w:firstLine="720"/>
        <w:jc w:val="both"/>
        <w:rPr/>
      </w:pPr>
      <w:r>
        <w:rPr>
          <w:rFonts w:ascii="Georgia" w:cs="Cardo" w:eastAsia="Cardo" w:hAnsi="Georgia"/>
          <w:sz w:val="24"/>
          <w:szCs w:val="24"/>
          <w:rtl w:val="0"/>
          <w:i/>
          <w:iCs/>
        </w:rPr>
        <w:t xml:space="preserve">generally / typically → hedge when limiting the scope of a claim; not a hedge when describing a procedural norm.</w:t>
      </w:r>
      <w:r>
        <w:rPr>
          <w:rtl w:val="0"/>
          <w:rFonts w:ascii="Georgia" w:hAnsi="Georgia"/>
          <w:sz w:val="24"/>
          <w:szCs w:val="24"/>
          <w:i/>
          <w:iCs/>
        </w:rPr>
      </w:r>
    </w:p>
    <w:p w:rsidR="00000000" w:rsidDel="00000000" w:rsidP="00000000" w:rsidRDefault="00000000" w:rsidRPr="00000000" w14:paraId="000001B1">
      <w:pPr>
        <w:spacing w:before="0" w:after="0" w:line="240" w:lineRule="auto"/>
        <w:ind w:left="240" w:firstLine="0"/>
        <w:jc w:val="both"/>
        <w:rPr/>
      </w:pPr>
      <w:r>
        <w:rPr>
          <w:rFonts w:ascii="Georgia" w:cs="Cardo" w:eastAsia="Cardo" w:hAnsi="Georgia"/>
          <w:sz w:val="24"/>
          <w:szCs w:val="24"/>
          <w:rtl w:val="0"/>
          <w:i/>
          <w:iCs/>
        </w:rPr>
        <w:t xml:space="preserve">appear / seem → hedge when expressing uncertainty about a result; not a hedge when pointing to location in a table or text.</w:t>
      </w:r>
      <w:r>
        <w:rPr>
          <w:rtl w:val="0"/>
          <w:rFonts w:ascii="Georgia" w:hAnsi="Georgia"/>
          <w:sz w:val="24"/>
          <w:szCs w:val="24"/>
          <w:i/>
          <w:iCs/>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both"/>
        <w:rPr/>
      </w:pPr>
      <w:r>
        <w:rPr>
          <w:rFonts w:ascii="Georgia" w:cs="Georgia" w:eastAsia="Georgia" w:hAnsi="Georgia"/>
          <w:b w:val="0"/>
          <w:bCs w:val="0"/>
          <w:sz w:val="22"/>
          <w:szCs w:val="22"/>
          <w:rtl w:val="0"/>
        </w:rPr>
        <w:t xml:space="preserve">Ability, future procedure, and necessity (must / should in procedural contexts) are never hedges. Working Test: if removing the device does not change how certain or tentative the claim is, it is not a hedge.</w:t>
      </w:r>
      <w:r>
        <w:rPr>
          <w:rtl w:val="0"/>
        </w:rPr>
      </w:r>
    </w:p>
    <w:p>
      <w:pPr/>
      <w:r>
        <w:br w:type="page"/>
      </w:r>
    </w:p>
    <w:p w:rsidR="00000000" w:rsidDel="00000000" w:rsidP="00000000" w:rsidRDefault="00000000" w:rsidRPr="00000000" w14:paraId="00000233">
      <w:pPr>
        <w:keepNext w:val="1"/>
        <w:spacing w:before="60" w:after="0" w:line="312"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0" w:line="312"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312"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val="1"/>
          <w:tblHeader w:val="0"/>
        </w:trPr>
        <w:tc>
          <w:tcPr/>
          <w:p w:rsidR="00000000" w:rsidDel="00000000" w:rsidP="00000000" w:rsidRDefault="00000000" w:rsidRPr="00000000" w14:paraId="00000237">
            <w:pPr>
              <w:spacing w:before="0" w:after="0" w:line="312"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312"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312"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312"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312"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312"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312"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val="1"/>
          <w:tblHeader w:val="0"/>
        </w:trPr>
        <w:tc>
          <w:tcPr/>
          <w:p w:rsidR="00000000" w:rsidDel="00000000" w:rsidP="00000000" w:rsidRDefault="00000000" w:rsidRPr="00000000" w14:paraId="0000023E">
            <w:pPr>
              <w:spacing w:before="0" w:after="0" w:line="312"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312"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312"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312"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60" w:after="0" w:line="312"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color w:val="000000"/>
        </w:rPr>
        <w:t xml:space="preserve"> that C. longa extracts are </w:t>
      </w:r>
      <w:r>
        <w:rPr>
          <w:highlight w:val="red"/>
          <w:color w:val="ffffff"/>
        </w:rPr>
        <w:t>potential</w:t>
      </w:r>
      <w:r>
        <w:rPr>
          <w:color w:val="000000"/>
        </w:rPr>
        <w:t xml:space="preserve"> </w:t>
      </w:r>
      <w:r>
        <w:rPr>
          <w:color w:val="ed7d31"/>
        </w:rPr>
        <w:t>(EC)</w:t>
      </w:r>
      <w:r>
        <w:rPr>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312"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120" w:after="0" w:line="312"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312"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312"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312"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312"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51">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60" w:after="0" w:line="312"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Layer 3 data, tracked separately so it never inflates RQ2 counts.</w:t>
      </w:r>
      <w:r>
        <w:rPr>
          <w:rtl w:val="0"/>
        </w:rPr>
      </w:r>
    </w:p>
    <w:p w:rsidR="00000000" w:rsidDel="00000000" w:rsidP="00000000" w:rsidRDefault="00000000" w:rsidRPr="00000000" w14:paraId="0000025E">
      <w:pPr>
        <w:keepNext w:val="1"/>
        <w:keepLines w:val="1"/>
        <w:spacing w:before="120" w:after="0" w:line="312"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312"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312"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6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60" w:after="0" w:line="312"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312"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312"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74">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pPr>
        <w:spacing w:line="312" w:lineRule="auto"/>
      </w:pPr>
      <w:r>
        <w:br w:type="page"/>
      </w:r>
    </w:p>
    <w:p w:rsidR="00000000" w:rsidDel="00000000" w:rsidP="00000000" w:rsidRDefault="00000000" w:rsidRPr="00000000" w14:paraId="000001B4">
      <w:pPr>
        <w:keepNext w:val="1"/>
        <w:pageBreakBefore w:val="1"/>
        <w:spacing w:before="720" w:after="12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both"/>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cs="Georgia" w:eastAsia="Georgia" w:hAnsi="Georgia"/>
          <w:b w:val="0"/>
          <w:bCs w:val="0"/>
          <w:i w:val="1"/>
          <w:iCs w:val="1"/>
          <w:color w:val="000000"/>
          <w:sz w:val="22"/>
          <w:szCs w:val="22"/>
          <w:rtl w:val="0"/>
        </w:rPr>
        <w:t xml:space="preserve">“as indicated by X”</w:t>
      </w:r>
      <w:r>
        <w:rPr>
          <w:rFonts w:ascii="Georgia" w:cs="Georgia" w:eastAsia="Georgia" w:hAnsi="Georgia"/>
          <w:b w:val="0"/>
          <w:bCs w:val="0"/>
          <w:i w:val="0"/>
          <w:iCs w:val="0"/>
          <w:color w:val="000000"/>
          <w:sz w:val="22"/>
          <w:szCs w:val="22"/>
          <w:rtl w:val="0"/>
        </w:rPr>
        <w:t xml:space="preserve">) rather than expressing uncertainty about the claim itself.</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w:t>
      </w:r>
      <w:r>
        <w:rPr>
          <w:rFonts w:ascii="Georgia" w:cs="Georgia" w:eastAsia="Georgia" w:hAnsi="Georgia"/>
          <w:b w:val="0"/>
          <w:bCs w:val="0"/>
          <w:i w:val="1"/>
          <w:iCs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is a hedge only for possibility, not capability; </w:t>
      </w:r>
      <w:r>
        <w:rPr>
          <w:rFonts w:ascii="Georgia" w:cs="Georgia" w:eastAsia="Georgia" w:hAnsi="Georgia"/>
          <w:b w:val="0"/>
          <w:bCs w:val="0"/>
          <w:i w:val="1"/>
          <w:iCs w:val="1"/>
          <w:color w:val="000000"/>
          <w:sz w:val="22"/>
          <w:szCs w:val="22"/>
          <w:rtl w:val="0"/>
        </w:rPr>
        <w:t xml:space="preserve">“suggest”</w:t>
      </w:r>
      <w:r>
        <w:rPr>
          <w:rFonts w:ascii="Georgia" w:cs="Georgia" w:eastAsia="Georgia" w:hAnsi="Georgia"/>
          <w:b w:val="0"/>
          <w:bCs w:val="0"/>
          <w:i w:val="0"/>
          <w:iCs w:val="0"/>
          <w:color w:val="000000"/>
          <w:sz w:val="22"/>
          <w:szCs w:val="22"/>
          <w:rtl w:val="0"/>
        </w:rPr>
        <w:t xml:space="preserve"> is a hedge only for a finding, not a recommendation.</w:t>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check Decision Rules, apply the Working Test if unresolved, and log any case that still can’t be resolved in Coder Notes rather than guessing.</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sz w:val="22"/>
          <w:szCs w:val="22"/>
          <w:rtl w:val="0"/>
        </w:rPr>
        <w:t>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Rule for “potential + noun” constructions: structural position is primary. If the phrase sits in an aim, methods, or pure topic-naming frame (naming the research object, e.g., “assessed the potential of X”), treat as topic-naming (FP-Gen). If it sits in a results or conclusion sentence qualifying a finding-claim, treat as a Lexical hedge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24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24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240" w:after="0" w:line="480" w:lineRule="auto"/>
        <w:jc w:val="left"/>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left"/>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i w:val="1"/>
          <w:iCs w:val="1"/>
          <w:sz w:val="24"/>
          <w:szCs w:val="24"/>
          <w:rtl w:val="0"/>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left"/>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 xml:space="preserve">This appendix presents the 60 abstracts with all coding marks applied. Layer 1 = color highlight on hedge tokens (blue = Modal Verbs, red = Lexical Hedges, yellow = Adverbial Hedges, green = Clause-Level Hedges). Layer 2 = function label in colored text (EC = orange, P = purple, DO = teal). Discourse connectors (Hence/Thus) are tagged (DO) even when not hedges. Layer 2 functions are only EC, P, and DO. False positives = strikethrough + reason code in grey (e.g. FP-Rec = recommendation, not a function).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Caudex" w:cs="Caudex" w:eastAsia="Caudex" w:hAnsi="Caudex"/>
          <w:b w:val="0"/>
          <w:bCs w:val="0"/>
          <w:i w:val="0"/>
          <w:iCs w:val="0"/>
          <w:color w:val="000000"/>
          <w:sz w:val="22"/>
          <w:szCs w:val="22"/>
          <w:rtl w:val="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ungsuh" w:cs="Gungsuh" w:eastAsia="Gungsuh" w:hAnsi="Gungsuh"/>
          <w:b w:val="0"/>
          <w:bCs w:val="0"/>
          <w:i w:val="0"/>
          <w:iCs w:val="0"/>
          <w:color w:val="000000"/>
          <w:sz w:val="22"/>
          <w:szCs w:val="22"/>
          <w:rtl w:val="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would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(DO),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cs="Georgia" w:eastAsia="Georgia" w:hAnsi="Georgia"/>
          <w:b w:val="1"/>
          <w:bCs w:val="1"/>
          <w:strike w:val="0"/>
          <w:color w:val="000000"/>
          <w:sz w:val="22"/>
          <w:szCs w:val="22"/>
          <w:shd w:fill="bfbfbf" w:val="clear"/>
          <w:rtl w:val="0"/>
        </w:rPr>
        <w:t xml:space="preserve">revealed that the eco-bricks from all treatments were significantly damaged at the height of one meter, making them a weak, unsuitable material to use in building walkways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This study is essential for getting insights into eco-brick manufacture because the workability of SUPs and UCOs as raw materials is proven. </w:t>
      </w:r>
      <w:r>
        <w:rPr>
          <w:rFonts w:ascii="Georgia" w:cs="Georgia" w:eastAsia="Georgia" w:hAnsi="Georgia"/>
          <w:b w:val="1"/>
          <w:bCs w:val="1"/>
          <w:strike w:val="0"/>
          <w:color w:val="000000"/>
          <w:sz w:val="22"/>
          <w:szCs w:val="22"/>
          <w:shd w:fill="bfbfbf" w:val="clear"/>
          <w:rtl w:val="0"/>
        </w:rPr>
        <w:t xml:space="preserve">The research findings do not apply to buildings</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Therefore (DO), further research </w:t>
      </w:r>
      <w:r>
        <w:rPr>
          <w:rFonts w:ascii="Georgia" w:cs="Georgia" w:eastAsia="Georgia" w:hAnsi="Georgia"/>
          <w:b w:val="1"/>
          <w:bCs w:val="1"/>
          <w:strike w:val="1"/>
          <w:color w:val="000000"/>
          <w:sz w:val="22"/>
          <w:szCs w:val="22"/>
          <w:rtl w:val="0"/>
        </w:rPr>
        <w:t xml:space="preserve">will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aid in underlining the importance of optimizing the ingredient ratios to acquire desirable quality eco-bricks for sustainable construction applications.</w:t>
      </w:r>
      <w:r>
        <w:rPr>
          <w:rtl w:val="0"/>
        </w:rPr>
      </w:r>
    </w:p>
    <w:p w:rsidR="00000000" w:rsidDel="00000000" w:rsidP="00000000" w:rsidRDefault="00000000" w:rsidRPr="00000000" w14:paraId="000002A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(DO)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(DO)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(DO),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(DO), the researcher provided a policy proposal to focus on issues that needed to be addressed in the community. In terms of practices, proper waste management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established to avoid the high danger of heavy metal contamination. Certain local habits, such as waste dumping and other communal activities,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the spread of heavy metals. As a result, some community or local government-adopted measures are </w:t>
      </w:r>
      <w:r>
        <w:rPr>
          <w:rFonts w:ascii="Georgia" w:cs="Georgia" w:eastAsia="Georgia" w:hAnsi="Georgia"/>
          <w:b w:val="1"/>
          <w:bCs w:val="1"/>
          <w:strike w:val="1"/>
          <w:color w:val="000000"/>
          <w:sz w:val="22"/>
          <w:szCs w:val="22"/>
          <w:rtl w:val="0"/>
        </w:rPr>
        <w:t xml:space="preserve">proposed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These precautions are intended to prevent heavy metal contamination, particularly in the river system and the aquatic life in the area.</w:t>
      </w:r>
      <w:r>
        <w:rPr>
          <w:rtl w:val="0"/>
        </w:rPr>
      </w:r>
    </w:p>
    <w:p w:rsidR="00000000" w:rsidDel="00000000" w:rsidP="00000000" w:rsidRDefault="00000000" w:rsidRPr="00000000" w14:paraId="000002B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(DO),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[R].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a comprehensive approach for diagnosing and studying mycobacteriosis in cultivated milkfish [G], offering insights that can (FP-Cap) guide effective management strategies to control the spread of this disease in aquaculture system.</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(DO),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[R].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 [R].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potentially (EC) severe pathogen that has developed resistance to several types of antibiotics. MRSA bacteria can (FP-Cap) survive long on surfaces and objects, including second-hand clothing (SHC). The increasing popularity of SHC or “ukay-ukay” in the Philippines, coupled with potential (EC) public health concerns associated with transmitting pathogenic bacteria, emphasized this research’s need. Thus (DO),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potential (EC) public health risks associated with the handling and purchasing of second-hand clothing. This study, therefore (DO), underscores the need for proper precautions to mitigate the spread of potentially (EC) harmful bacteria, including MRSA, on second-hand clothing. It highlights the importance of raising awareness among both vendors and consumers about the potential (EC) health risks associated with these garments.</w:t>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C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(DO),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(DO),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(DO),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(DO),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(DO),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(DO),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[R]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D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(DO),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[REDACTED].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w:t>
      </w:r>
      <w:r>
        <w:rPr>
          <w:rFonts w:ascii="Georgia" w:cs="Georgia" w:eastAsia="Georgia" w:hAnsi="Georgia"/>
          <w:b w:val="1"/>
          <w:bCs w:val="1"/>
          <w:strike w:val="0"/>
          <w:color w:val="000000"/>
          <w:sz w:val="22"/>
          <w:szCs w:val="22"/>
          <w:shd w:fill="bfbfbf" w:val="clear"/>
          <w:rtl w:val="0"/>
        </w:rPr>
        <w:t xml:space="preserve">the differences between the groups were statistically significant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There were variations in the mean antibody titer measured among samples.</w:t>
      </w:r>
      <w:r>
        <w:rPr>
          <w:rtl w:val="0"/>
        </w:rPr>
      </w:r>
    </w:p>
    <w:p w:rsidR="00000000" w:rsidDel="00000000" w:rsidP="00000000" w:rsidRDefault="00000000" w:rsidRPr="00000000" w14:paraId="000002E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r>
        <w:rPr>
          <w:rtl w:val="0"/>
        </w:rPr>
      </w:r>
    </w:p>
    <w:p w:rsidR="00000000" w:rsidDel="00000000" w:rsidP="00000000" w:rsidRDefault="00000000" w:rsidRPr="00000000" w14:paraId="000002E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butterfly pea flower aqueous extract in improving the survival of zebrafish at its larval stage.</w:t>
      </w:r>
      <w:r>
        <w:rPr>
          <w:rtl w:val="0"/>
        </w:rPr>
      </w:r>
    </w:p>
    <w:p w:rsidR="00000000" w:rsidDel="00000000" w:rsidP="00000000" w:rsidRDefault="00000000" w:rsidRPr="00000000" w14:paraId="000002E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(DO),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(DO),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(DO), the use of rice hull and vermicompost significantly enhanced the growth and survival of Adansonii. These findings highlight their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effective, low-cost, and sustainable soil amendments for ornamental and horticultural cultivation, offering practical options for growers seeking eco-friendly methods to improve plant performance.</w:t>
      </w:r>
      <w:r>
        <w:rPr>
          <w:rtl w:val="0"/>
        </w:rPr>
      </w:r>
    </w:p>
    <w:p w:rsidR="00000000" w:rsidDel="00000000" w:rsidP="00000000" w:rsidRDefault="00000000" w:rsidRPr="00000000" w14:paraId="0000030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(DO),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center"/>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(DO),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will (FP-Gen) drive animal production systems to find new sources of high-quality and sustainable protein feed raw materials. Fortunately, insect farming can (EC) be seen as a potential (EC)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00b0f0" w:val="clear"/>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1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(DO),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April 25 to April 30, 2023 to find out the “Efficacy of Diatomaceous Earth (DE) and Neem Tree Extract (Azadirachta indica) on House Fly Larvae (Musca domestica) on Poultry Manure”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w:t>
      </w:r>
      <w:r>
        <w:rPr>
          <w:rFonts w:ascii="Georgia" w:cs="Georgia" w:eastAsia="Georgia" w:hAnsi="Georgia"/>
          <w:b w:val="1"/>
          <w:bCs w:val="1"/>
          <w:strike w:val="0"/>
          <w:color w:val="000000"/>
          <w:sz w:val="22"/>
          <w:szCs w:val="22"/>
          <w:shd w:fill="bfbfbf" w:val="clear"/>
          <w:rtl w:val="0"/>
        </w:rPr>
        <w:t xml:space="preserve">The results disclosed that the percentage of mortality and moisture content were statistically significant at 1% (P&lt;0.01) and (P&lt;0.05) level with 48 hours after the post-treatment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mortality rate and moisture content were not significant after 6 hours and 24 hours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Therefore (DO),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for future researchers to add Diatomaceous earth and neem tree extract and check the humidity. Extend data collection for 72 hours and 96 hours for future study.</w:t>
      </w:r>
      <w:r>
        <w:rPr>
          <w:rtl w:val="0"/>
        </w:rPr>
      </w:r>
    </w:p>
    <w:p w:rsidR="00000000" w:rsidDel="00000000" w:rsidP="00000000" w:rsidRDefault="00000000" w:rsidRPr="00000000" w14:paraId="0000032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(DO),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