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those resolutions were logged in the codebook and applied to subsequent coding. Abstracts already coded before a given refinement were not systematically re-checked against the final rule set.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 xml:space="preserve">Abstracts were accessed on-site at the PSAU Library with proper authorization. Student names and thesis titles were fully anonymized using discipline codes (Acs1–Acs10, Aas1–Aas10,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51.9% vs. 13 lexical hedges, 48.1%), while Biology is heavily lexical (20 of 28 hedges, 71.4%, with only 5 modal verbs). Veterinary Medicine, with only 10 total hedges, is also predominantly lexical (8 of 10, 80.0%).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Given the small sample size and zero-inflated distribution, this result is treated as exploratory rather than as confirmatory evidence of a disciplinary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rsidR="00000000" w:rsidDel="00000000" w:rsidP="00000000" w:rsidRDefault="00000000" w:rsidRPr="00000000" w14:paraId="00000161">
      <w:pPr>
        <w:spacing w:before="0" w:after="0" w:line="480" w:lineRule="auto"/>
        <w:ind w:firstLine="720"/>
        <w:jc w:val="both"/>
        <w:rPr/>
      </w:pPr>
      <w:r>
        <w:rPr>
          <w:rtl w:val="0"/>
        </w:rPr>
        <w:t xml:space="preserve">The clearest contrast is Veterinary Medicine's lower hedge density and higher zero-hedge share (Part II). Agriculture and Biology are near-tied on density; the Agriculture-Biology difference is marginal and sensitive to Acs2, so it is not treated as a stable ranking. Descriptive notes only: Agriculture shows a near balance of modal and lexical hedges with tokens such as potential and suggests often in conclusion sentences; Biology's hedges are predominantly lexical, with potential sometimes in aim statements as topic-naming. Neither note is offered as a discipline-level profile. One hypothesis for VM's lower density—more binary or measured outcomes and more factive reporting verbs—fits some abstracts in this subset but was not tested against a comparison group and is not treated as established. Field norms, adviser practice, and outcome type remain unseparated. The defensible claim is that VM abstracts in this corpus hedge less; the cause remains unknown.</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Limited evidence of differentiation, mainly Veterinary Medicine. The Agriculture-Biology difference is marginal and partly outlier-driven. The data cannot separate field norms, adviser practice, and outcome type as explanations.</w:t>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cs="Georgia" w:eastAsia="Georgia" w:hAnsi="Georgia"/>
          <w:b w:val="1"/>
          <w:bCs w:val="1"/>
          <w:strike w:val="0"/>
          <w:color w:val="000000"/>
          <w:sz w:val="22"/>
          <w:szCs w:val="22"/>
          <w:shd w:fill="bfbfbf" w:val="clear"/>
          <w:rtl w:val="0"/>
        </w:rPr>
        <w:t xml:space="preserve">The results disclosed that the percentage of mortality and moisture content were statistically significant at 1% (P&lt;0.01) and (P&lt;0.05) level with 48 hours after the post-treatment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mortality rate and moisture content were not significant after 6 hours and 24 hours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for future researchers to add Diatomaceous earth and neem tree extract and check the humidity. Extend data collection for 72 hours and 96 hours for future study.</w:t>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