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6.02, p = .049, suggesting a possible difference in the distribution of hedge counts across disciplines. Given the small sample size and zero-inflated distribution, this result should be treated as preliminary rather than as strong evidence of disciplinary differences.</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 xml:space="preserve">All 60 retained hedges were coded as Epistemic Caution. No politeness or discourse-organization functions appear. The uniform assignment may reflect a restricted repertoire, the compressed abstract genre, the coding scheme, or single-rater interpretation; the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.049; chi-square on zero-hedge distribution p = .13, which does not reach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 xml:space="preserve">Three observations support a descriptive label of pro forma hedging, not a confirmed construct: (1) potential accounts for 38.9% of lexical hedges and recurs in near-identical frames; (2) all retained hedges serve a single function; (3) 46.7% of abstracts contain no hedges at all.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 xml:space="preserve">Lexical hedges outnumber modal verbs (60.0% vs 35.0%), inverting the modal-dominant pattern common in developing-researcher studies (Khunasathitchai et al., 2025; Wang, 2022), largely because of formulaic potential. Density is highest in Agriculture (0.60 per 100 words), then Biology (0.55), then Veterinary Medicine (0.18). Nearly half of abstracts contain no coded hedges; Veterinary Medicine alone accounts for a 65% zero-hedge rate. Every retained hedge serves Epistemic Caution.</w:t>
      </w:r>
    </w:p>
    <w:p>
      <w:pPr>
        <w:spacing w:line="480" w:lineRule="auto" w:before="0" w:after="0"/>
        <w:ind w:firstLine="720"/>
        <w:jc w:val="both"/>
      </w:pPr>
      <w:r>
        <w:rPr>
          <w:rFonts w:ascii="Georgia" w:hAnsi="Georgia" w:eastAsia="Georgia"/>
          <w:b w:val="0"/>
          <w:i w:val="0"/>
          <w:sz w:val="22"/>
        </w:rPr>
        <w:t xml:space="preserve">Disciplinary differentiation is present but uneven. Veterinary Medicine’s sparse, assertive profile is the clearest contrast. Agriculture’s edge over Biology is modest and sensitive to a single outlier. The patterns are consistent with field-specific epistemic demands (Salager-Meyer, 1994) operating even among developing writers, but statistical evidence is borderline (Kruskal-Wallis p = .049)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 xml:space="preserve">Thesis advisers at PSAU should treat hedging as a teachable, discipline-sensitive skill rather than a generic call to “be cautious.” Feedback is most needed where zero-hedge rates are highest (Veterinary Medicine in this sample). Instruction should distinguish topic-naming potential in aim statements from epistemic potential in conclusions, and should expand beyond modal verbs toward adverbial and clause-level options where the genre allows.</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A: CODING KEY FOR HEDGE IDENTIFICATION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A coding key based on Hyland’s (1998) framework was developed to classify hedges by type and function. All coding is context-sensitive. Devices are classified based on their function in the sentence in which they appear, not on their presence in isolation.</w:t>
      </w:r>
    </w:p>
    <w:p>
      <w:pPr>
        <w:keepNext/>
        <w:keepLines/>
        <w:spacing w:before="240" w:after="240" w:line="480" w:lineRule="auto"/>
        <w:jc w:val="left"/>
      </w:pPr>
      <w:r>
        <w:rPr>
          <w:rFonts w:ascii="Georgia" w:hAnsi="Georgia" w:eastAsia="Georgia"/>
          <w:b w:val="0"/>
          <w:i/>
          <w:sz w:val="24"/>
        </w:rPr>
        <w:t>Hedge Types</w:t>
      </w:r>
    </w:p>
    <w:p>
      <w:pPr>
        <w:spacing w:line="480" w:lineRule="auto" w:before="0" w:after="0"/>
        <w:jc w:val="both"/>
      </w:pPr>
      <w:r>
        <w:rPr>
          <w:rFonts w:ascii="Georgia" w:hAnsi="Georgia" w:eastAsia="Georgia"/>
          <w:b w:val="0"/>
          <w:i w:val="0"/>
          <w:sz w:val="22"/>
        </w:rPr>
        <w:t>1. Modal Verbs: may, might, could, would, should, can</w:t>
      </w:r>
    </w:p>
    <w:p>
      <w:pPr>
        <w:spacing w:line="480" w:lineRule="auto" w:before="0" w:after="0"/>
        <w:jc w:val="both"/>
      </w:pPr>
      <w:r>
        <w:rPr>
          <w:rFonts w:ascii="Georgia" w:hAnsi="Georgia" w:eastAsia="Georgia"/>
          <w:b w:val="0"/>
          <w:i w:val="0"/>
          <w:sz w:val="22"/>
        </w:rPr>
        <w:t>2. Lexical Verbs and Adjectives: suggest, indicate, appear, seem, propose, assume, possible, probable, likely. Other epistemic adjectives (e.g., potential, conceivable, tentative) are also coded as lexical hedges if they qualify the certainty of a claim and pass the working test.</w:t>
      </w:r>
    </w:p>
    <w:p>
      <w:pPr>
        <w:spacing w:line="480" w:lineRule="auto" w:before="0" w:after="0"/>
        <w:jc w:val="both"/>
      </w:pPr>
      <w:r>
        <w:rPr>
          <w:rFonts w:ascii="Georgia" w:hAnsi="Georgia" w:eastAsia="Georgia"/>
          <w:b w:val="0"/>
          <w:i w:val="0"/>
          <w:sz w:val="22"/>
        </w:rPr>
        <w:t>3. Adverbial Hedges: generally, typically, possibly, probably, relatively, essentially</w:t>
      </w:r>
    </w:p>
    <w:p>
      <w:pPr>
        <w:spacing w:line="480" w:lineRule="auto" w:before="0" w:after="0"/>
        <w:jc w:val="both"/>
      </w:pPr>
      <w:r>
        <w:rPr>
          <w:rFonts w:ascii="Georgia" w:hAnsi="Georgia" w:eastAsia="Georgia"/>
          <w:b w:val="0"/>
          <w:i w:val="0"/>
          <w:sz w:val="22"/>
        </w:rPr>
        <w:t>4. Clause-Level Hedges: it seems that, it is possible that, to some extent, in our view</w:t>
      </w:r>
    </w:p>
    <w:p>
      <w:pPr>
        <w:keepNext/>
        <w:keepLines/>
        <w:spacing w:before="240" w:after="240" w:line="480" w:lineRule="auto"/>
        <w:jc w:val="left"/>
      </w:pPr>
      <w:r>
        <w:rPr>
          <w:rFonts w:ascii="Georgia" w:hAnsi="Georgia" w:eastAsia="Georgia"/>
          <w:b w:val="0"/>
          <w:i/>
          <w:sz w:val="24"/>
        </w:rPr>
        <w:t>Hedge Functions</w:t>
      </w:r>
    </w:p>
    <w:p>
      <w:pPr>
        <w:spacing w:line="480" w:lineRule="auto" w:before="0" w:after="0"/>
        <w:ind w:firstLine="720"/>
        <w:jc w:val="both"/>
      </w:pPr>
      <w:r>
        <w:rPr>
          <w:rFonts w:ascii="Georgia" w:hAnsi="Georgia" w:eastAsia="Georgia"/>
          <w:b/>
          <w:i w:val="0"/>
          <w:sz w:val="22"/>
        </w:rPr>
        <w:t xml:space="preserve">Epistemic Caution: </w:t>
      </w:r>
      <w:r>
        <w:rPr>
          <w:rFonts w:ascii="Georgia" w:hAnsi="Georgia" w:eastAsia="Georgia"/>
          <w:b w:val="0"/>
          <w:i w:val="0"/>
          <w:sz w:val="22"/>
        </w:rPr>
        <w:t>Expresses uncertainty about the truth or accuracy of a claim (e.g., The treatment may reduce infection rates).</w:t>
      </w:r>
    </w:p>
    <w:p>
      <w:pPr>
        <w:spacing w:line="480" w:lineRule="auto" w:before="0" w:after="0"/>
        <w:ind w:firstLine="720"/>
        <w:jc w:val="both"/>
      </w:pPr>
      <w:r>
        <w:rPr>
          <w:rFonts w:ascii="Georgia" w:hAnsi="Georgia" w:eastAsia="Georgia"/>
          <w:b/>
          <w:i w:val="0"/>
          <w:sz w:val="22"/>
        </w:rPr>
        <w:t xml:space="preserve">Politeness/Deference: </w:t>
      </w:r>
      <w:r>
        <w:rPr>
          <w:rFonts w:ascii="Georgia" w:hAnsi="Georgia" w:eastAsia="Georgia"/>
          <w:b w:val="0"/>
          <w:i w:val="0"/>
          <w:sz w:val="22"/>
        </w:rPr>
        <w:t>Shows respect toward readers or prior research rather than expressing genuine epistemic uncertainty (e.g., As suggested by Hyland (1998)...).</w:t>
      </w:r>
    </w:p>
    <w:p>
      <w:pPr>
        <w:spacing w:line="480" w:lineRule="auto" w:before="0" w:after="0"/>
        <w:ind w:firstLine="720"/>
        <w:jc w:val="both"/>
      </w:pPr>
      <w:r>
        <w:rPr>
          <w:rFonts w:ascii="Georgia" w:hAnsi="Georgia" w:eastAsia="Georgia"/>
          <w:b/>
          <w:i w:val="0"/>
          <w:sz w:val="22"/>
        </w:rPr>
        <w:t xml:space="preserve">Discourse Organization: </w:t>
      </w:r>
      <w:r>
        <w:rPr>
          <w:rFonts w:ascii="Georgia" w:hAnsi="Georgia" w:eastAsia="Georgia"/>
          <w:b w:val="0"/>
          <w:i w:val="0"/>
          <w:sz w:val="22"/>
        </w:rPr>
        <w:t>Manages text structure or guides reader expectations rather than expressing the writer’s epistemic stance (e.g., It should be noted that...).</w:t>
      </w:r>
    </w:p>
    <w:p>
      <w:pPr>
        <w:keepNext/>
        <w:keepLines/>
        <w:spacing w:before="240" w:after="240" w:line="480" w:lineRule="auto"/>
        <w:jc w:val="left"/>
      </w:pPr>
      <w:r>
        <w:rPr>
          <w:rFonts w:ascii="Georgia" w:hAnsi="Georgia" w:eastAsia="Georgia"/>
          <w:b w:val="0"/>
          <w:i/>
          <w:sz w:val="24"/>
        </w:rPr>
        <w:t>Decision Rules for Ambiguous Cases</w:t>
      </w:r>
    </w:p>
    <w:p>
      <w:pPr>
        <w:spacing w:line="480" w:lineRule="auto" w:before="0" w:after="0"/>
        <w:ind w:firstLine="720"/>
        <w:jc w:val="both"/>
      </w:pPr>
      <w:r>
        <w:rPr>
          <w:rFonts w:ascii="Georgia" w:hAnsi="Georgia" w:eastAsia="Georgia"/>
          <w:b/>
          <w:i w:val="0"/>
          <w:sz w:val="22"/>
        </w:rPr>
        <w:t xml:space="preserve">• Suggest / Indicate: </w:t>
      </w:r>
      <w:r>
        <w:rPr>
          <w:rFonts w:ascii="Georgia" w:hAnsi="Georgia" w:eastAsia="Georgia"/>
          <w:b w:val="0"/>
          <w:i w:val="0"/>
          <w:sz w:val="22"/>
        </w:rPr>
        <w:t>Coded as Hedge if introducing a finding or result (e.g., Data suggests a significant correlation). NOT coded as a hedge if introducing a recommendation (e.g., We suggest further research).</w:t>
      </w:r>
    </w:p>
    <w:p>
      <w:pPr>
        <w:spacing w:line="480" w:lineRule="auto" w:before="0" w:after="0"/>
        <w:ind w:firstLine="720"/>
        <w:jc w:val="both"/>
      </w:pPr>
      <w:r>
        <w:rPr>
          <w:rFonts w:ascii="Georgia" w:hAnsi="Georgia" w:eastAsia="Georgia"/>
          <w:b/>
          <w:i w:val="0"/>
          <w:sz w:val="22"/>
        </w:rPr>
        <w:t xml:space="preserve">• Can / May: </w:t>
      </w:r>
      <w:r>
        <w:rPr>
          <w:rFonts w:ascii="Georgia" w:hAnsi="Georgia" w:eastAsia="Georgia"/>
          <w:b w:val="0"/>
          <w:i w:val="0"/>
          <w:sz w:val="22"/>
        </w:rPr>
        <w:t>Coded as Hedge if expressing possibility or uncertainty (e.g., This may indicate disease resistance). NOT coded if expressing capability (e.g., PCR can detect low concentrations).</w:t>
      </w:r>
    </w:p>
    <w:p>
      <w:pPr>
        <w:spacing w:line="480" w:lineRule="auto" w:before="0" w:after="0"/>
        <w:ind w:firstLine="720"/>
        <w:jc w:val="both"/>
      </w:pPr>
      <w:r>
        <w:rPr>
          <w:rFonts w:ascii="Georgia" w:hAnsi="Georgia" w:eastAsia="Georgia"/>
          <w:b/>
          <w:i w:val="0"/>
          <w:sz w:val="22"/>
        </w:rPr>
        <w:t xml:space="preserve">• Generally / Typically: </w:t>
      </w:r>
      <w:r>
        <w:rPr>
          <w:rFonts w:ascii="Georgia" w:hAnsi="Georgia" w:eastAsia="Georgia"/>
          <w:b w:val="0"/>
          <w:i w:val="0"/>
          <w:sz w:val="22"/>
        </w:rPr>
        <w:t>Coded as Hedge if qualifying the scope of a claim (e.g., Plants generally respond to drought by...). NOT coded if describing a procedural norm (e.g., Samples were generally stored at 4°C).</w:t>
      </w:r>
    </w:p>
    <w:p>
      <w:pPr>
        <w:spacing w:line="480" w:lineRule="auto" w:before="0" w:after="0"/>
        <w:ind w:firstLine="720"/>
        <w:jc w:val="both"/>
      </w:pPr>
      <w:r>
        <w:rPr>
          <w:rFonts w:ascii="Georgia" w:hAnsi="Georgia" w:eastAsia="Georgia"/>
          <w:b/>
          <w:i w:val="0"/>
          <w:sz w:val="22"/>
        </w:rPr>
        <w:t xml:space="preserve">• Appear / Seem: </w:t>
      </w:r>
      <w:r>
        <w:rPr>
          <w:rFonts w:ascii="Georgia" w:hAnsi="Georgia" w:eastAsia="Georgia"/>
          <w:b w:val="0"/>
          <w:i w:val="0"/>
          <w:sz w:val="22"/>
        </w:rPr>
        <w:t>Coded as Hedge if expressing uncertainty about a result (e.g., The pathogen appears to be host-specific). NOT coded if indicating physical or textual location (e.g., The results appear in Table 1).</w:t>
      </w:r>
    </w:p>
    <w:p>
      <w:pPr>
        <w:keepNext/>
        <w:keepLines/>
        <w:spacing w:before="240" w:after="240" w:line="480" w:lineRule="auto"/>
        <w:jc w:val="left"/>
      </w:pPr>
      <w:r>
        <w:rPr>
          <w:rFonts w:ascii="Georgia" w:hAnsi="Georgia" w:eastAsia="Georgia"/>
          <w:b w:val="0"/>
          <w:i/>
          <w:sz w:val="24"/>
        </w:rPr>
        <w:t>Exclusion Rules</w:t>
      </w:r>
    </w:p>
    <w:p>
      <w:pPr>
        <w:spacing w:line="480" w:lineRule="auto" w:before="0" w:after="0"/>
        <w:ind w:firstLine="720"/>
        <w:jc w:val="both"/>
      </w:pPr>
      <w:r>
        <w:rPr>
          <w:rFonts w:ascii="Georgia" w:hAnsi="Georgia" w:eastAsia="Georgia"/>
          <w:b w:val="0"/>
          <w:i w:val="0"/>
          <w:sz w:val="22"/>
        </w:rPr>
        <w:t>Words expressing ability (can = the method is capable of), future procedure (will = the study will do X), or necessity (must, should in procedural contexts) are not coded as hedges. Working test: if removing the device does not change the epistemic weight of the claim, it is not functioning as a hedge.</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0" w:after="0" w:line="480" w:lineRule="auto"/>
        <w:jc w:val="center"/>
      </w:pPr>
      <w:r>
        <w:rPr>
          <w:rFonts w:ascii="Georgia" w:hAnsi="Georgia" w:eastAsia="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coding results of four abstracts analyzed during the pilot testing phase. Each abstract is presented followed by its coding summary to demonstrate the application of the coding key and decision rules.</w:t>
      </w:r>
    </w:p>
    <w:p>
      <w:pPr>
        <w:keepNext/>
        <w:keepLines/>
        <w:spacing w:before="240" w:after="240" w:line="480" w:lineRule="auto"/>
        <w:jc w:val="left"/>
      </w:pPr>
      <w:r>
        <w:rPr>
          <w:rFonts w:ascii="Georgia" w:hAnsi="Georgia" w:eastAsia="Georgia"/>
          <w:b w:val="0"/>
          <w:i/>
          <w:sz w:val="24"/>
        </w:rPr>
        <w:t>Sample 1: Biology</w:t>
      </w:r>
    </w:p>
    <w:p>
      <w:pPr>
        <w:spacing w:line="480" w:lineRule="auto" w:before="0" w:after="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480" w:lineRule="auto" w:before="0" w:after="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t>General Observation from Pilot Testing</w:t>
      </w:r>
    </w:p>
    <w:p>
      <w:pPr>
        <w:spacing w:line="480" w:lineRule="auto" w:before="0" w:after="0"/>
        <w:ind w:firstLine="720"/>
        <w:jc w:val="both"/>
      </w:pPr>
      <w:r>
        <w:rPr>
          <w:rFonts w:ascii="Georgia" w:hAnsi="Georgia" w:eastAsia="Georgia"/>
          <w:b w:val="0"/>
          <w:i w:val="0"/>
          <w:sz w:val="22"/>
        </w:rPr>
        <w:t>The pilot analysis revealed a high frequency of zero-hedge abstracts (3 out of 4). This pattern suggests that developing researchers may either lack awareness of hedging conventions or interpret the abstract genre as a space for factual reporting rather than claim management. This observation confirms the need for a descriptive baseline study.</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C: HEDGING CODEBOOK</w:t>
      </w:r>
    </w:p>
    <w:p>
      <w:pPr>
        <w:spacing w:before="0" w:after="0" w:line="240" w:lineRule="auto"/>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PURPOSE</w:t>
      </w:r>
    </w:p>
    <w:p>
      <w:pPr>
        <w:spacing w:line="480" w:lineRule="auto" w:before="0" w:after="0"/>
        <w:ind w:firstLine="720"/>
        <w:jc w:val="both"/>
      </w:pPr>
      <w:r>
        <w:rPr>
          <w:rFonts w:ascii="Georgia" w:hAnsi="Georgia" w:eastAsia="Georgia"/>
          <w:b w:val="0"/>
          <w:i w:val="0"/>
          <w:sz w:val="22"/>
        </w:rPr>
        <w:t>This codebook operationalizes Hyland’s (1998) hedging framework for coding the PSAU thesis abstract corpus. All colors are background highlights, applied by hand or digital highlighter directly on printed or PDF copies. They are not font colors and are not tied to any software. The highlighted hard copies are the primary coding record; any spreadsheet is a derived tally, not the source of truth.</w:t>
      </w:r>
    </w:p>
    <w:p>
      <w:pPr>
        <w:keepNext/>
        <w:keepLines/>
        <w:spacing w:before="240" w:after="240" w:line="480" w:lineRule="auto"/>
        <w:jc w:val="left"/>
      </w:pPr>
      <w:r>
        <w:rPr>
          <w:rFonts w:ascii="Georgia" w:hAnsi="Georgia" w:eastAsia="Georgia"/>
          <w:b/>
          <w:i w:val="0"/>
          <w:sz w:val="24"/>
        </w:rPr>
        <w:t>WORKING TEST</w:t>
      </w:r>
    </w:p>
    <w:p>
      <w:pPr>
        <w:spacing w:line="480" w:lineRule="auto" w:before="0" w:after="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480" w:lineRule="auto" w:before="0" w:after="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480" w:lineRule="auto" w:before="0" w:after="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480" w:lineRule="auto" w:before="0" w:after="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40" w:after="240" w:line="480" w:lineRule="auto"/>
        <w:jc w:val="left"/>
      </w:pPr>
      <w:r>
        <w:rPr>
          <w:rFonts w:ascii="Georgia" w:hAnsi="Georgia" w:eastAsia="Georgia"/>
          <w:b/>
          <w:i w:val="0"/>
          <w:sz w:val="24"/>
        </w:rPr>
        <w:t>LAYER 1: HEDGE TYPE (PRIMARY COLORS)</w:t>
      </w:r>
    </w:p>
    <w:p>
      <w:pPr>
        <w:spacing w:line="480" w:lineRule="auto" w:before="0" w:after="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480" w:lineRule="auto"/>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40" w:after="240" w:line="480" w:lineRule="auto"/>
        <w:jc w:val="left"/>
      </w:pPr>
      <w:r>
        <w:rPr>
          <w:rFonts w:ascii="Georgia" w:hAnsi="Georgia" w:eastAsia="Georgia"/>
          <w:b/>
          <w:i w:val="0"/>
          <w:sz w:val="24"/>
        </w:rPr>
        <w:t>LAYER 2: HEDGE FUNCTION (COLORED TEXT LABELS)</w:t>
      </w:r>
    </w:p>
    <w:p>
      <w:pPr>
        <w:spacing w:line="480" w:lineRule="auto" w:before="0" w:after="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40" w:after="240" w:line="480" w:lineRule="auto"/>
        <w:jc w:val="left"/>
      </w:pPr>
      <w:r>
        <w:rPr>
          <w:rFonts w:ascii="Georgia" w:hAnsi="Georgia" w:eastAsia="Georgia"/>
          <w:b/>
          <w:i w:val="0"/>
          <w:sz w:val="24"/>
        </w:rPr>
        <w:t>DECISION RULES FOR AMBIGUOUS CASES</w:t>
      </w:r>
    </w:p>
    <w:p>
      <w:pPr>
        <w:spacing w:line="480" w:lineRule="auto" w:before="0" w:after="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480" w:lineRule="auto"/>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40" w:after="240" w:line="480" w:lineRule="auto"/>
        <w:jc w:val="left"/>
      </w:pPr>
      <w:r>
        <w:rPr>
          <w:rFonts w:ascii="Georgia" w:hAnsi="Georgia" w:eastAsia="Georgia"/>
          <w:b/>
          <w:i w:val="0"/>
          <w:sz w:val="24"/>
        </w:rPr>
        <w:t>MARKING FALSE POSITIVES</w:t>
      </w:r>
    </w:p>
    <w:p>
      <w:pPr>
        <w:spacing w:line="480" w:lineRule="auto" w:before="0" w:after="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40" w:after="240" w:line="480" w:lineRule="auto"/>
        <w:jc w:val="left"/>
      </w:pPr>
      <w:r>
        <w:rPr>
          <w:rFonts w:ascii="Georgia" w:hAnsi="Georgia" w:eastAsia="Georgia"/>
          <w:b/>
          <w:i w:val="0"/>
          <w:sz w:val="24"/>
        </w:rPr>
        <w:t>LAYER 3 (OPTIONAL): UNHEDGED ASSERTION SITES (NEUTRAL GREY)</w:t>
      </w:r>
    </w:p>
    <w:p>
      <w:pPr>
        <w:spacing w:line="480" w:lineRule="auto" w:before="0" w:after="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40" w:after="240" w:line="480" w:lineRule="auto"/>
        <w:jc w:val="left"/>
      </w:pPr>
      <w:r>
        <w:rPr>
          <w:rFonts w:ascii="Georgia" w:hAnsi="Georgia" w:eastAsia="Georgia"/>
          <w:b/>
          <w:i w:val="0"/>
          <w:sz w:val="24"/>
        </w:rPr>
        <w:t>QUICK-REFERENCE LEGEND</w:t>
      </w:r>
    </w:p>
    <w:p>
      <w:pPr>
        <w:spacing w:line="480" w:lineRule="auto" w:before="0" w:after="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40" w:after="240" w:line="480" w:lineRule="auto"/>
        <w:jc w:val="left"/>
      </w:pPr>
      <w:r>
        <w:rPr>
          <w:rFonts w:ascii="Georgia" w:hAnsi="Georgia" w:eastAsia="Georgia"/>
          <w:b/>
          <w:i w:val="0"/>
          <w:sz w:val="24"/>
        </w:rPr>
        <w:t>COMBINED EXAMPLE</w:t>
      </w:r>
    </w:p>
    <w:p>
      <w:pPr>
        <w:spacing w:line="480" w:lineRule="auto" w:before="0" w:after="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480" w:lineRule="auto" w:before="0" w:after="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40" w:after="240" w:line="480" w:lineRule="auto"/>
        <w:jc w:val="left"/>
      </w:pPr>
      <w:r>
        <w:rPr>
          <w:rFonts w:ascii="Georgia" w:hAnsi="Georgia" w:eastAsia="Georgia"/>
          <w:b/>
          <w:i w:val="0"/>
          <w:sz w:val="24"/>
        </w:rPr>
        <w:t>CODING SHEET COLUMNS</w:t>
      </w:r>
    </w:p>
    <w:p>
      <w:pPr>
        <w:spacing w:line="480" w:lineRule="auto" w:before="0" w:after="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480" w:lineRule="auto"/>
        <w:ind w:firstLine="720"/>
        <w:jc w:val="both"/>
      </w:pPr>
      <w:r>
        <w:rPr>
          <w:rFonts w:ascii="Georgia" w:hAnsi="Georgia" w:eastAsia="Georgia"/>
          <w:b w:val="0"/>
          <w:i/>
          <w:color w:val="000000"/>
          <w:sz w:val="22"/>
        </w:rPr>
        <w:t>Layer 3 data, tracked separately so it never inflates RQ2 counts.</w:t>
      </w:r>
    </w:p>
    <w:p>
      <w:pPr>
        <w:keepNext/>
        <w:keepLines/>
        <w:spacing w:before="240" w:after="240" w:line="48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240" w:after="240" w:line="480" w:lineRule="auto"/>
        <w:jc w:val="left"/>
      </w:pPr>
      <w:r>
        <w:rPr>
          <w:rFonts w:ascii="Georgia" w:hAnsi="Georgia" w:eastAsia="Georgia"/>
          <w:b w:val="0"/>
          <w:i/>
          <w:sz w:val="24"/>
        </w:rPr>
        <w:t>Optional Tab: Rejected Hedge Candidates</w:t>
      </w:r>
    </w:p>
    <w:p>
      <w:pPr>
        <w:spacing w:line="480" w:lineRule="auto" w:before="0" w:after="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ectPr>
          <w:headerReference w:type="default" r:id="rId22"/>
          <w:headerReference w:type="first" r:id="rId23"/>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D: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