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both"/>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both"/>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This unhedged-site inventory is included as a descriptive record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both"/>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sites.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60" w:after="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80" w:after="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288" w:lineRule="auto"/>
        <w:ind w:firstLine="720"/>
        <w:jc w:val="both"/>
        <w:rPr/>
      </w:pPr>
      <w:r>
        <w:rPr>
          <w:rFonts w:ascii="Georgia" w:hAnsi="Georgia" w:cs="Georgia" w:eastAsia="Georgia"/>
          <w:b w:val="0"/>
          <w:bCs w:val="0"/>
          <w:i w:val="1"/>
          <w:iCs w:val="1"/>
          <w:color w:val="000000"/>
          <w:sz w:val="22"/>
          <w:szCs w:val="22"/>
          <w:rtl w:val="0"/>
        </w:rPr>
        <w:t>Unhedged-site data, tracked separately so it never inflates RQ2 counts.</w:t>
      </w:r>
      <w:r>
        <w:rPr>
          <w:rtl w:val="0"/>
        </w:rPr>
      </w:r>
    </w:p>
    <w:p w:rsidR="00000000" w:rsidDel="00000000" w:rsidP="00000000" w:rsidRDefault="00000000" w:rsidRPr="00000000" w14:paraId="0000025E">
      <w:pPr>
        <w:keepNext w:val="1"/>
        <w:spacing w:before="60" w:after="0" w:line="288"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80" w:after="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0" w:after="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120" w:after="6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tblHeader w:val="0"/>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tblHeader w:val="0"/>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tblHeader w:val="0"/>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tblHeader w:val="0"/>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0" w:after="20" w:line="360" w:lineRule="auto"/>
        <w:ind w:firstLine="720"/>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 SITES (OPTIONAL,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Grey highlight marks the main certainty-bearing verb of the unhedged assertion; the full clause is recorded in the coding sheet. • Unhedged sites: claim clauses with no hedge. Reverse test: a hedge could be inserted without changing the facts. Procedural statements never markable. Example: “Results showed X” → could be “Results suggested X.”</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A finding stated as settled fact.</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000000"/>
                <w:sz w:val="20"/>
                <w:szCs w:val="20"/>
                <w:shd w:fill="bfbfbf" w:val="clear"/>
                <w:rtl w:val="0"/>
              </w:rPr>
              <w:t xml:space="preserve">Results showed</w:t>
            </w:r>
            <w:r>
              <w:rPr>
                <w:rFonts w:ascii="Georgia" w:cs="Georgia" w:eastAsia="Georgia" w:hAnsi="Georgia"/>
                <w:b w:val="0"/>
                <w:bCs w:val="0"/>
                <w:i w:val="0"/>
                <w:iCs w:val="0"/>
                <w:color w:val="000000"/>
                <w:sz w:val="20"/>
                <w:szCs w:val="20"/>
                <w:rtl w:val="0"/>
              </w:rPr>
              <w:t xml:space="preserve"> that all shrimp farms were free of the disease.”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A broader inference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shd w:fill="bfbfbf" w:val="clear"/>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A cause and effect link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shd w:fill="bfbfbf" w:val="clear"/>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sites = grey highlight + [R]/[G]/[C] bracket.</w:t>
      </w:r>
      <w:r>
        <w:rPr>
          <w:rtl w:val="0"/>
        </w:rPr>
      </w:r>
    </w:p>
    <w:p>
      <w:pPr>
        <w:spacing w:before="120" w:after="120" w:line="480" w:lineRule="auto"/>
      </w:pPr>
      <w:r>
        <w:rPr>
          <w:rFonts w:ascii="Georgia" w:hAnsi="Georgia" w:cs="Georgia" w:eastAsia="Georgia"/>
          <w:sz w:val="22"/>
          <w:i/>
        </w:rPr>
        <w:t xml:space="preserve">Note. Grey highlight on unhedged sites marks the main certainty-bearing verb of the assertion. The full clause is recorded in the coding sheet.</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w:t>
      </w:r>
      <w:r>
        <w:rPr>
          <w:rFonts w:ascii="Georgia" w:hAnsi="Georgia" w:cs="Georgia" w:eastAsia="Georgia"/>
          <w:sz w:val="22"/>
          <w:szCs w:val="22"/>
          <w:b w:val="0"/>
          <w:bCs w:val="0"/>
          <w:strike w:val="0"/>
          <w:color w:val="000000"/>
        </w:rPr>
        <w:t xml:space="preserve">The result of antibacterial testing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the Partial Fraction of Balitbitan (Cynometra ramiflora) did not possess the property to inhibit the growth of Staphylococcus aureus and Escherichia coli.</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color w:val="000000"/>
        </w:rPr>
        <w:t xml:space="preserve">There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no zone of inhibition when treated with the partial fraction of Balitbitan.</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w:t>
      </w:r>
      <w:r>
        <w:rPr>
          <w:rFonts w:ascii="Georgia" w:hAnsi="Georgia" w:cs="Georgia" w:eastAsia="Georgia"/>
          <w:sz w:val="22"/>
          <w:szCs w:val="22"/>
          <w:b w:val="0"/>
          <w:bCs w:val="0"/>
          <w:strike w:val="0"/>
          <w:color w:val="000000"/>
        </w:rPr>
        <w:t xml:space="preserve">A drop test was also performed, which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the eco-bricks from all treatments were significantly damaged at the height of one meter, making them a weak, unsuitable material to use in building walkways.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This study is essential for getting insights into eco-brick manufacture because the workability of SUPs and UCOs as raw materials is proven. </w:t>
      </w:r>
      <w:r>
        <w:rPr>
          <w:rFonts w:ascii="Georgia" w:hAnsi="Georgia" w:cs="Georgia" w:eastAsia="Georgia"/>
          <w:sz w:val="22"/>
          <w:szCs w:val="22"/>
          <w:b w:val="0"/>
          <w:bCs w:val="0"/>
          <w:strike w:val="0"/>
          <w:color w:val="000000"/>
        </w:rPr>
        <w:t xml:space="preserve">The research findings </w:t>
      </w:r>
      <w:r>
        <w:rPr>
          <w:rFonts w:ascii="Georgia" w:hAnsi="Georgia" w:cs="Georgia" w:eastAsia="Georgia"/>
          <w:sz w:val="22"/>
          <w:szCs w:val="22"/>
          <w:b w:val="0"/>
          <w:bCs w:val="0"/>
          <w:strike w:val="0"/>
          <w:color w:val="000000"/>
          <w:shd w:val="clear" w:color="auto" w:fill="BFBFBF"/>
        </w:rPr>
        <w:t xml:space="preserve">do</w:t>
      </w:r>
      <w:r>
        <w:rPr>
          <w:rFonts w:ascii="Georgia" w:hAnsi="Georgia" w:cs="Georgia" w:eastAsia="Georgia"/>
          <w:sz w:val="22"/>
          <w:szCs w:val="22"/>
          <w:b w:val="0"/>
          <w:bCs w:val="0"/>
          <w:strike w:val="0"/>
          <w:color w:val="000000"/>
        </w:rPr>
        <w:t xml:space="preserve"> not apply to buildings.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Therefore, further research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cs="Georgia" w:eastAsia="Georgia"/>
          <w:sz w:val="22"/>
          <w:szCs w:val="22"/>
          <w:b w:val="0"/>
          <w:bCs w:val="0"/>
          <w:strike w:val="0"/>
          <w:color w:val="000000"/>
        </w:rPr>
        <w:t xml:space="preserve">All mice treated with pure leaf extract of Z. talanai, monosodium glutamate, distilled water and L-Taurine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a significant effect (lesions / aberrations) to the cytoarchitecture of liver and kidney.</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w:t>
      </w:r>
      <w:r>
        <w:rPr>
          <w:rFonts w:ascii="Georgia" w:hAnsi="Georgia" w:cs="Georgia" w:eastAsia="Georgia"/>
          <w:sz w:val="22"/>
          <w:szCs w:val="22"/>
          <w:b w:val="0"/>
          <w:bCs w:val="0"/>
          <w:strike w:val="0"/>
          <w:color w:val="000000"/>
        </w:rPr>
        <w:t xml:space="preserve">Based on the results of this study, pure MSG and pure ethanolic leaf extract of Z. talanai </w:t>
      </w:r>
      <w:r>
        <w:rPr>
          <w:rFonts w:ascii="Georgia" w:hAnsi="Georgia" w:cs="Georgia" w:eastAsia="Georgia"/>
          <w:sz w:val="22"/>
          <w:szCs w:val="22"/>
          <w:b w:val="0"/>
          <w:bCs w:val="0"/>
          <w:strike w:val="0"/>
          <w:color w:val="000000"/>
          <w:shd w:val="clear" w:color="auto" w:fill="BFBFBF"/>
        </w:rPr>
        <w:t xml:space="preserve">caused</w:t>
      </w:r>
      <w:r>
        <w:rPr>
          <w:rFonts w:ascii="Georgia" w:hAnsi="Georgia" w:cs="Georgia" w:eastAsia="Georgia"/>
          <w:sz w:val="22"/>
          <w:szCs w:val="22"/>
          <w:b w:val="0"/>
          <w:bCs w:val="0"/>
          <w:strike w:val="0"/>
          <w:color w:val="000000"/>
        </w:rPr>
        <w:t xml:space="preserve"> the lesions / aberrations to the liver and kidney.</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w:t>
      </w:r>
      <w:r>
        <w:rPr>
          <w:rFonts w:ascii="Georgia" w:hAnsi="Georgia" w:cs="Georgia" w:eastAsia="Georgia"/>
          <w:sz w:val="22"/>
          <w:szCs w:val="22"/>
          <w:b w:val="0"/>
          <w:bCs w:val="0"/>
          <w:strike w:val="0"/>
          <w:color w:val="000000"/>
        </w:rPr>
        <w:t xml:space="preserve">Using the Ziehl-Neelsen stain for acid-fast bacteria detection, along with biochemical testing methods such as the catalase test and assessing growth in the presence of the Salt Tolerance Test,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the presence of acid-fast bacteria in the tissues of infected milkfish, confirming the occurrence of mycobacteriosis infection.</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w:t>
      </w:r>
      <w:r>
        <w:rPr>
          <w:rFonts w:ascii="Georgia" w:hAnsi="Georgia" w:cs="Georgia" w:eastAsia="Georgia"/>
          <w:sz w:val="22"/>
          <w:szCs w:val="22"/>
          <w:b w:val="0"/>
          <w:bCs w:val="0"/>
          <w:strike w:val="0"/>
          <w:color w:val="000000"/>
        </w:rPr>
        <w:t xml:space="preserve">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color w:val="000000"/>
          <w:shd w:val="clear" w:color="auto" w:fill="BFBFBF"/>
        </w:rPr>
        <w:t xml:space="preserve">provides</w:t>
      </w:r>
      <w:r>
        <w:rPr>
          <w:rFonts w:ascii="Georgia" w:hAnsi="Georgia" w:cs="Georgia" w:eastAsia="Georgia"/>
          <w:sz w:val="22"/>
          <w:szCs w:val="22"/>
          <w:b w:val="0"/>
          <w:bCs w:val="0"/>
          <w:strike w:val="0"/>
          <w:color w:val="000000"/>
        </w:rPr>
        <w:t xml:space="preserve"> a comprehensive approach for diagnosing and studying mycobacteriosis in cultivated milkfish, offering insights that </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cs="Georgia" w:eastAsia="Georgia"/>
          <w:sz w:val="22"/>
          <w:szCs w:val="22"/>
          <w:b w:val="0"/>
          <w:bCs w:val="0"/>
          <w:strike w:val="0"/>
          <w:color w:val="000000"/>
        </w:rPr>
        <w:t xml:space="preserve">Nine out of ten isolates </w:t>
      </w:r>
      <w:r>
        <w:rPr>
          <w:rFonts w:ascii="Georgia" w:hAnsi="Georgia" w:cs="Georgia" w:eastAsia="Georgia"/>
          <w:sz w:val="22"/>
          <w:szCs w:val="22"/>
          <w:b w:val="0"/>
          <w:bCs w:val="0"/>
          <w:strike w:val="0"/>
          <w:color w:val="000000"/>
          <w:shd w:val="clear" w:color="auto" w:fill="BFBFBF"/>
        </w:rPr>
        <w:t xml:space="preserve">exhibit</w:t>
      </w:r>
      <w:r>
        <w:rPr>
          <w:rFonts w:ascii="Georgia" w:hAnsi="Georgia" w:cs="Georgia" w:eastAsia="Georgia"/>
          <w:sz w:val="22"/>
          <w:szCs w:val="22"/>
          <w:b w:val="0"/>
          <w:bCs w:val="0"/>
          <w:strike w:val="0"/>
          <w:color w:val="000000"/>
        </w:rPr>
        <w:t xml:space="preserve"> quorum quenching activities by inhibiting the swarming motility of Pseudomonas aeruginosa.</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metabolic compounds of the isolates were subjected to initial characterization using enzyme and pH neutralization, which revealed that organic acids were responsible for the inhibitory activity. </w:t>
      </w:r>
      <w:r>
        <w:rPr>
          <w:rFonts w:ascii="Georgia" w:hAnsi="Georgia" w:cs="Georgia" w:eastAsia="Georgia"/>
          <w:sz w:val="22"/>
          <w:szCs w:val="22"/>
          <w:b w:val="0"/>
          <w:bCs w:val="0"/>
          <w:strike w:val="0"/>
          <w:color w:val="000000"/>
        </w:rPr>
        <w:t xml:space="preserve">The inhibition activity of LAB isolates against the quorum sensing-mediated swarming motility in P. aeruginosa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due to strong antibacterial activity.</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cs="Georgia" w:eastAsia="Georgia"/>
          <w:sz w:val="22"/>
          <w:szCs w:val="22"/>
          <w:b w:val="0"/>
          <w:bCs w:val="0"/>
          <w:strike w:val="0"/>
          <w:color w:val="000000"/>
        </w:rPr>
        <w:t xml:space="preserve">T1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Zoletil® alone is not enough to fully induce Stage 3 anesthesia in zebrafish.</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color w:val="000000"/>
        </w:rPr>
        <w:t xml:space="preserve">However, when sodium bicarbonate was added, Stage 3 was </w:t>
      </w:r>
      <w:r>
        <w:rPr>
          <w:rFonts w:ascii="Georgia" w:hAnsi="Georgia" w:cs="Georgia" w:eastAsia="Georgia"/>
          <w:sz w:val="22"/>
          <w:szCs w:val="22"/>
          <w:b w:val="0"/>
          <w:bCs w:val="0"/>
          <w:strike w:val="0"/>
          <w:color w:val="000000"/>
          <w:shd w:val="clear" w:color="auto" w:fill="BFBFBF"/>
        </w:rPr>
        <w:t xml:space="preserve">achieved</w:t>
      </w:r>
      <w:r>
        <w:rPr>
          <w:rFonts w:ascii="Georgia" w:hAnsi="Georgia" w:cs="Georgia" w:eastAsia="Georgia"/>
          <w:sz w:val="22"/>
          <w:szCs w:val="22"/>
          <w:b w:val="0"/>
          <w:bCs w:val="0"/>
          <w:strike w:val="0"/>
          <w:color w:val="000000"/>
        </w:rPr>
        <w:t xml:space="preserve">, while using only a small amount of Zoletil®.</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w:t>
      </w:r>
      <w:r>
        <w:rPr>
          <w:rFonts w:ascii="Georgia" w:hAnsi="Georgia" w:cs="Georgia" w:eastAsia="Georgia"/>
          <w:sz w:val="22"/>
          <w:szCs w:val="22"/>
          <w:b w:val="0"/>
          <w:bCs w:val="0"/>
          <w:strike w:val="0"/>
          <w:color w:val="000000"/>
        </w:rPr>
        <w:t xml:space="preserve">On the other hand, the evaluation of retail egg vendors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a major issue of reusing the egg trays across vendors which has been strongly linked to bacterial growth on eggshells, yolks and albumen, with p-values of 0.030 and 0.014, respectively.</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cs="Georgia" w:eastAsia="Georgia"/>
          <w:sz w:val="22"/>
          <w:szCs w:val="22"/>
          <w:b w:val="0"/>
          <w:bCs w:val="0"/>
          <w:strike w:val="0"/>
          <w:color w:val="000000"/>
        </w:rPr>
        <w:t xml:space="preserve">Results </w:t>
      </w:r>
      <w:r>
        <w:rPr>
          <w:rFonts w:ascii="Georgia" w:hAnsi="Georgia" w:cs="Georgia" w:eastAsia="Georgia"/>
          <w:sz w:val="22"/>
          <w:szCs w:val="22"/>
          <w:b w:val="0"/>
          <w:bCs w:val="0"/>
          <w:strike w:val="0"/>
          <w:color w:val="000000"/>
          <w:shd w:val="clear" w:color="auto" w:fill="BFBFBF"/>
        </w:rPr>
        <w:t xml:space="preserve">indicated</w:t>
      </w:r>
      <w:r>
        <w:rPr>
          <w:rFonts w:ascii="Georgia" w:hAnsi="Georgia" w:cs="Georgia" w:eastAsia="Georgia"/>
          <w:sz w:val="22"/>
          <w:szCs w:val="22"/>
          <w:b w:val="0"/>
          <w:bCs w:val="0"/>
          <w:strike w:val="0"/>
          <w:color w:val="000000"/>
        </w:rPr>
        <w:t xml:space="preserve"> that most vendors lacked formal training in milk-handling (100 %) did not use refrigeration, new bottles, or any preservation methods (100%).</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w:t>
      </w:r>
      <w:r>
        <w:rPr>
          <w:rFonts w:ascii="Georgia" w:hAnsi="Georgia" w:cs="Georgia" w:eastAsia="Georgia"/>
          <w:sz w:val="22"/>
          <w:szCs w:val="22"/>
          <w:b w:val="0"/>
          <w:bCs w:val="0"/>
          <w:strike w:val="0"/>
        </w:rPr>
        <w:t xml:space="preserve">Mean values for PCV, RBC, HGB, MCH, MCHC, MCV, WBC, neutrophils, eosinophils, lymphocytes, monocytes, basophils, potassium, magnesium, and calcium were not significantly different while mean values for sodium between male and female NZW rabbits were </w:t>
      </w:r>
      <w:r>
        <w:rPr>
          <w:rFonts w:ascii="Georgia" w:hAnsi="Georgia" w:cs="Georgia" w:eastAsia="Georgia"/>
          <w:sz w:val="22"/>
          <w:szCs w:val="22"/>
          <w:b w:val="0"/>
          <w:bCs w:val="0"/>
          <w:strike w:val="0"/>
          <w:shd w:val="clear" w:color="auto" w:fill="BFBFBF"/>
        </w:rPr>
        <w:t xml:space="preserve">found</w:t>
      </w:r>
      <w:r>
        <w:rPr>
          <w:rFonts w:ascii="Georgia" w:hAnsi="Georgia" w:cs="Georgia" w:eastAsia="Georgia"/>
          <w:sz w:val="22"/>
          <w:szCs w:val="22"/>
          <w:b w:val="0"/>
          <w:bCs w:val="0"/>
          <w:strike w:val="0"/>
        </w:rPr>
        <w:t xml:space="preserve"> to be statistically different (p&lt;0.05).</w:t>
      </w:r>
      <w:r>
        <w:rPr>
          <w:rFonts w:ascii="Georgia" w:hAnsi="Georgia" w:cs="Georgia" w:eastAsia="Georgia"/>
          <w:sz w:val="22"/>
          <w:szCs w:val="22"/>
          <w:b w:val="0"/>
          <w:bCs w:val="0"/>
          <w:strike w:val="0"/>
        </w:rPr>
        <w:t xml:space="preserve"> [R]</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cs="Georgia" w:eastAsia="Georgia"/>
          <w:sz w:val="22"/>
          <w:szCs w:val="22"/>
          <w:b w:val="0"/>
          <w:bCs w:val="0"/>
          <w:strike w:val="0"/>
          <w:color w:val="000000"/>
        </w:rPr>
        <w:t xml:space="preserve">A total of 181 microplastics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detected across all samples, wherein the concentration of microplastics was higher in Treatment 1 (74.03%).</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cs="Georgia" w:eastAsia="Georgia"/>
          <w:sz w:val="22"/>
          <w:szCs w:val="22"/>
          <w:b w:val="0"/>
          <w:bCs w:val="0"/>
          <w:strike w:val="0"/>
          <w:color w:val="000000"/>
        </w:rPr>
        <w:t xml:space="preserve">In general, lung samples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sensitive to all antibiotics except amoxicillin-clavulanic acid.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w:t>
      </w:r>
      <w:r>
        <w:rPr>
          <w:rFonts w:ascii="Georgia" w:hAnsi="Georgia" w:cs="Georgia" w:eastAsia="Georgia"/>
          <w:sz w:val="22"/>
          <w:szCs w:val="22"/>
          <w:b w:val="0"/>
          <w:bCs w:val="0"/>
          <w:strike w:val="0"/>
          <w:color w:val="000000"/>
        </w:rPr>
        <w:t xml:space="preserve">In contrast, the data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that lung and chick samples exhibited marked resistance.</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w:t>
      </w:r>
      <w:r>
        <w:rPr>
          <w:rFonts w:ascii="Georgia" w:hAnsi="Georgia" w:cs="Georgia" w:eastAsia="Georgia"/>
          <w:sz w:val="22"/>
          <w:szCs w:val="22"/>
          <w:b w:val="0"/>
          <w:bCs w:val="0"/>
          <w:strike w:val="0"/>
          <w:color w:val="000000"/>
        </w:rPr>
        <w:t xml:space="preserve">One way ANOVA was used and the differences between the groups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statistically significant.</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cs="Georgia" w:eastAsia="Georgia"/>
          <w:sz w:val="22"/>
          <w:szCs w:val="22"/>
          <w:b w:val="0"/>
          <w:bCs w:val="0"/>
          <w:strike w:val="0"/>
          <w:color w:val="000000"/>
        </w:rPr>
        <w:t xml:space="preserve">Results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Treatment 3, with 40% concentration of Noni had the highest zone of inhibition in vitro with comparable antibacterial activity as the positive control against S. aureus.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t>
      </w:r>
      <w:r>
        <w:rPr>
          <w:rFonts w:ascii="Georgia" w:hAnsi="Georgia" w:cs="Georgia" w:eastAsia="Georgia"/>
          <w:sz w:val="22"/>
          <w:szCs w:val="22"/>
          <w:b w:val="0"/>
          <w:bCs w:val="0"/>
          <w:strike w:val="0"/>
          <w:color w:val="000000"/>
        </w:rPr>
        <w:t xml:space="preserve">With the in vitro and in vivo results, Noni fruit ethanolic extract with 40% concentration </w:t>
      </w:r>
      <w:r>
        <w:rPr>
          <w:rFonts w:ascii="Georgia" w:hAnsi="Georgia" w:cs="Georgia" w:eastAsia="Georgia"/>
          <w:sz w:val="22"/>
          <w:szCs w:val="22"/>
          <w:b w:val="0"/>
          <w:bCs w:val="0"/>
          <w:strike w:val="0"/>
          <w:color w:val="000000"/>
          <w:shd w:val="clear" w:color="auto" w:fill="BFBFBF"/>
        </w:rPr>
        <w:t xml:space="preserve">has</w:t>
      </w:r>
      <w:r>
        <w:rPr>
          <w:rFonts w:ascii="Georgia" w:hAnsi="Georgia" w:cs="Georgia" w:eastAsia="Georgia"/>
          <w:sz w:val="22"/>
          <w:szCs w:val="22"/>
          <w:b w:val="0"/>
          <w:bCs w:val="0"/>
          <w:strike w:val="0"/>
          <w:color w:val="000000"/>
        </w:rPr>
        <w:t xml:space="preserve"> antibacterial property.</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cs="Georgia" w:eastAsia="Georgia"/>
          <w:sz w:val="22"/>
          <w:szCs w:val="22"/>
          <w:b w:val="0"/>
          <w:bCs w:val="0"/>
          <w:strike w:val="0"/>
          <w:color w:val="000000"/>
        </w:rPr>
        <w:t xml:space="preserve">Participants </w:t>
      </w:r>
      <w:r>
        <w:rPr>
          <w:rFonts w:ascii="Georgia" w:hAnsi="Georgia" w:cs="Georgia" w:eastAsia="Georgia"/>
          <w:sz w:val="22"/>
          <w:szCs w:val="22"/>
          <w:b w:val="0"/>
          <w:bCs w:val="0"/>
          <w:strike w:val="0"/>
          <w:color w:val="000000"/>
          <w:shd w:val="clear" w:color="auto" w:fill="BFBFBF"/>
        </w:rPr>
        <w:t xml:space="preserve">exhibited</w:t>
      </w:r>
      <w:r>
        <w:rPr>
          <w:rFonts w:ascii="Georgia" w:hAnsi="Georgia" w:cs="Georgia" w:eastAsia="Georgia"/>
          <w:sz w:val="22"/>
          <w:szCs w:val="22"/>
          <w:b w:val="0"/>
          <w:bCs w:val="0"/>
          <w:strike w:val="0"/>
          <w:color w:val="000000"/>
        </w:rPr>
        <w:t xml:space="preserve"> an overall moderate level of awareness (mean=3.30) on canine zoonotic diseases.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w:t>
      </w:r>
      <w:r>
        <w:rPr>
          <w:rFonts w:ascii="Georgia" w:hAnsi="Georgia" w:cs="Georgia" w:eastAsia="Georgia"/>
          <w:sz w:val="22"/>
          <w:szCs w:val="22"/>
          <w:b w:val="0"/>
          <w:bCs w:val="0"/>
          <w:strike w:val="0"/>
          <w:color w:val="000000"/>
        </w:rPr>
        <w:t xml:space="preserve">Using Pearson’s correlation, significant associations (p&lt;0.05) were </w:t>
      </w:r>
      <w:r>
        <w:rPr>
          <w:rFonts w:ascii="Georgia" w:hAnsi="Georgia" w:cs="Georgia" w:eastAsia="Georgia"/>
          <w:sz w:val="22"/>
          <w:szCs w:val="22"/>
          <w:b w:val="0"/>
          <w:bCs w:val="0"/>
          <w:strike w:val="0"/>
          <w:color w:val="000000"/>
          <w:shd w:val="clear" w:color="auto" w:fill="BFBFBF"/>
        </w:rPr>
        <w:t xml:space="preserve">found</w:t>
      </w:r>
      <w:r>
        <w:rPr>
          <w:rFonts w:ascii="Georgia" w:hAnsi="Georgia" w:cs="Georgia" w:eastAsia="Georgia"/>
          <w:sz w:val="22"/>
          <w:szCs w:val="22"/>
          <w:b w:val="0"/>
          <w:bCs w:val="0"/>
          <w:strike w:val="0"/>
          <w:color w:val="000000"/>
        </w:rPr>
        <w:t xml:space="preserve"> between awareness on zoonotic diseases and sociodemographic factors, such as educational attainment (p-value=0.000), monthly income (p-value=0.007), and years of dog ownership (p-value=0.001).</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cs="Georgia" w:eastAsia="Georgia"/>
          <w:sz w:val="22"/>
          <w:szCs w:val="22"/>
          <w:b w:val="0"/>
          <w:bCs w:val="0"/>
          <w:strike w:val="0"/>
          <w:color w:val="000000"/>
        </w:rPr>
        <w:t xml:space="preserve">The results </w:t>
      </w:r>
      <w:r>
        <w:rPr>
          <w:rFonts w:ascii="Georgia" w:hAnsi="Georgia" w:cs="Georgia" w:eastAsia="Georgia"/>
          <w:sz w:val="22"/>
          <w:szCs w:val="22"/>
          <w:b w:val="0"/>
          <w:bCs w:val="0"/>
          <w:strike w:val="0"/>
          <w:color w:val="000000"/>
          <w:shd w:val="clear" w:color="auto" w:fill="BFBFBF"/>
        </w:rPr>
        <w:t xml:space="preserve">indicated</w:t>
      </w:r>
      <w:r>
        <w:rPr>
          <w:rFonts w:ascii="Georgia" w:hAnsi="Georgia" w:cs="Georgia" w:eastAsia="Georgia"/>
          <w:sz w:val="22"/>
          <w:szCs w:val="22"/>
          <w:b w:val="0"/>
          <w:bCs w:val="0"/>
          <w:strike w:val="0"/>
          <w:color w:val="000000"/>
        </w:rPr>
        <w:t xml:space="preserve"> that most respondents demonstrated high knowledge about rabies (69.3%), particularly regarding transmission and prevention, However, misconceptions persisted, notably about rabies’ incurability (39.8%) and the role of neutering in disease control (50.3%).</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cs="Georgia" w:eastAsia="Georgia"/>
          <w:sz w:val="22"/>
          <w:szCs w:val="22"/>
          <w:b w:val="0"/>
          <w:bCs w:val="0"/>
          <w:strike w:val="0"/>
          <w:color w:val="000000"/>
        </w:rPr>
        <w:t xml:space="preserve">Multiple linear regression analysis </w:t>
      </w:r>
      <w:r>
        <w:rPr>
          <w:rFonts w:ascii="Georgia" w:hAnsi="Georgia" w:cs="Georgia" w:eastAsia="Georgia"/>
          <w:sz w:val="22"/>
          <w:szCs w:val="22"/>
          <w:b w:val="0"/>
          <w:bCs w:val="0"/>
          <w:strike w:val="0"/>
          <w:color w:val="000000"/>
          <w:shd w:val="clear" w:color="auto" w:fill="BFBFBF"/>
        </w:rPr>
        <w:t xml:space="preserve">confirmed</w:t>
      </w:r>
      <w:r>
        <w:rPr>
          <w:rFonts w:ascii="Georgia" w:hAnsi="Georgia" w:cs="Georgia" w:eastAsia="Georgia"/>
          <w:sz w:val="22"/>
          <w:szCs w:val="22"/>
          <w:b w:val="0"/>
          <w:bCs w:val="0"/>
          <w:strike w:val="0"/>
          <w:color w:val="000000"/>
        </w:rPr>
        <w:t xml:space="preserve"> interrelationships among KAP dimensions, revealing that higher knowledge scores significantly predicted better preventive behaviors (p &lt; 0.001).</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w:t>
      </w:r>
      <w:r>
        <w:rPr>
          <w:rFonts w:ascii="Georgia" w:hAnsi="Georgia" w:cs="Georgia" w:eastAsia="Georgia"/>
          <w:sz w:val="22"/>
          <w:szCs w:val="22"/>
          <w:b w:val="0"/>
          <w:bCs w:val="0"/>
          <w:strike w:val="0"/>
          <w:color w:val="000000"/>
        </w:rPr>
        <w:t xml:space="preserve">Based on the results, there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no significant difference among the different methods of kuhol amino acid app in terms of plant height, weight of marketable and weight of non-marketable fruit, number of marketable and non-marketable fruits, and computed yield.</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color w:val="000000"/>
        </w:rPr>
        <w:t xml:space="preserve">Different methods of kuhol amino acid application </w:t>
      </w:r>
      <w:r>
        <w:rPr>
          <w:rFonts w:ascii="Georgia" w:hAnsi="Georgia" w:cs="Georgia" w:eastAsia="Georgia"/>
          <w:sz w:val="22"/>
          <w:szCs w:val="22"/>
          <w:b w:val="0"/>
          <w:bCs w:val="0"/>
          <w:strike w:val="0"/>
          <w:color w:val="000000"/>
          <w:shd w:val="clear" w:color="auto" w:fill="BFBFBF"/>
        </w:rPr>
        <w:t xml:space="preserve">influenced</w:t>
      </w:r>
      <w:r>
        <w:rPr>
          <w:rFonts w:ascii="Georgia" w:hAnsi="Georgia" w:cs="Georgia" w:eastAsia="Georgia"/>
          <w:sz w:val="22"/>
          <w:szCs w:val="22"/>
          <w:b w:val="0"/>
          <w:bCs w:val="0"/>
          <w:strike w:val="0"/>
          <w:color w:val="000000"/>
        </w:rPr>
        <w:t xml:space="preserve"> the plant height, weight of fruits, number of marketable and non-marketable fruits, and computed yield.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researcher </w:t>
      </w:r>
      <w:r>
        <w:rPr>
          <w:rFonts w:ascii="Georgia" w:hAnsi="Georgia" w:cs="Georgia" w:eastAsia="Georgia"/>
          <w:sz w:val="22"/>
          <w:szCs w:val="22"/>
          <w:b w:val="0"/>
          <w:bCs w:val="0"/>
          <w:color w:val="000000"/>
          <w:strike w:val="1"/>
        </w:rPr>
        <w:t>recommends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w:t>
      </w:r>
      <w:r>
        <w:rPr>
          <w:rFonts w:ascii="Georgia" w:hAnsi="Georgia" w:cs="Georgia" w:eastAsia="Georgia"/>
          <w:sz w:val="22"/>
          <w:szCs w:val="22"/>
          <w:b w:val="0"/>
          <w:bCs w:val="0"/>
          <w:strike w:val="0"/>
          <w:color w:val="000000"/>
        </w:rPr>
        <w:t xml:space="preserve">The results of the study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the following: a significant difference was observed in the number of productive tillers, actual yield per sample area, and computed yield per ton/ha.</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No significant differences were observed in terms of the number of days from transplanting to flowering, plant height, number of unproductive tillers, length of panicle, number of filled grains, number of unfilled grains, and weight of 1,000 seeds. </w:t>
      </w:r>
      <w:r>
        <w:rPr>
          <w:rFonts w:ascii="Georgia" w:hAnsi="Georgia" w:cs="Georgia" w:eastAsia="Georgia"/>
          <w:sz w:val="22"/>
          <w:szCs w:val="22"/>
          <w:b w:val="0"/>
          <w:bCs w:val="0"/>
          <w:strike w:val="0"/>
          <w:color w:val="000000"/>
        </w:rPr>
        <w:t xml:space="preserve">In conclusion, T3: NPK+14-14-14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the most compelling treatment among all treatments in terms of producing the highest number of productive tillers and obtaining the heaviest yield per ton/ha.</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w:t>
      </w:r>
      <w:r>
        <w:rPr>
          <w:rFonts w:ascii="Georgia" w:hAnsi="Georgia" w:cs="Georgia" w:eastAsia="Georgia"/>
          <w:sz w:val="22"/>
          <w:szCs w:val="22"/>
          <w:b w:val="0"/>
          <w:bCs w:val="0"/>
          <w:strike w:val="0"/>
          <w:color w:val="000000"/>
        </w:rPr>
        <w:t xml:space="preserve">The results of the study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the following: No significant differences were observed in terms of mean initial weight (kg), mean final weight (kg), mean gain in weight (kg), mean DM intake (kg), or feed conversion ratio.</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color w:val="000000"/>
        </w:rPr>
        <w:t xml:space="preserve">The student researcher concluded that T2 (20% GA Leaves + 40% Paragrass + 40% Concentrate Feeds)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the most compelling treatment among all treatments for the rabbits in terms of outperforming the data numerically.</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w:t>
      </w:r>
      <w:r>
        <w:rPr>
          <w:rFonts w:ascii="Georgia" w:hAnsi="Georgia" w:cs="Georgia" w:eastAsia="Georgia"/>
          <w:sz w:val="22"/>
          <w:szCs w:val="22"/>
          <w:b w:val="0"/>
          <w:bCs w:val="0"/>
          <w:strike w:val="0"/>
          <w:color w:val="000000"/>
        </w:rPr>
        <w:t xml:space="preserve">But when it came to mean ultimate weight in the treated birds, the fermented okara extract </w:t>
      </w:r>
      <w:r>
        <w:rPr>
          <w:rFonts w:ascii="Georgia" w:hAnsi="Georgia" w:cs="Georgia" w:eastAsia="Georgia"/>
          <w:sz w:val="22"/>
          <w:szCs w:val="22"/>
          <w:b w:val="0"/>
          <w:bCs w:val="0"/>
          <w:strike w:val="0"/>
          <w:color w:val="000000"/>
          <w:shd w:val="clear" w:color="auto" w:fill="BFBFBF"/>
        </w:rPr>
        <w:t xml:space="preserve">had</w:t>
      </w:r>
      <w:r>
        <w:rPr>
          <w:rFonts w:ascii="Georgia" w:hAnsi="Georgia" w:cs="Georgia" w:eastAsia="Georgia"/>
          <w:sz w:val="22"/>
          <w:szCs w:val="22"/>
          <w:b w:val="0"/>
          <w:bCs w:val="0"/>
          <w:strike w:val="0"/>
          <w:color w:val="000000"/>
        </w:rPr>
        <w:t xml:space="preserve"> the biggest impact, resulting in the heaviest weight.</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color w:val="000000"/>
        </w:rPr>
        <w:t xml:space="preserve">Additionally, the total return result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a promising future for fermented okara extract at a level of 60 ml (166.00 PHP).</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cs="Georgia" w:eastAsia="Georgia"/>
          <w:sz w:val="22"/>
          <w:szCs w:val="22"/>
          <w:b w:val="0"/>
          <w:bCs w:val="0"/>
          <w:strike w:val="0"/>
          <w:color w:val="000000"/>
        </w:rPr>
        <w:t xml:space="preserve">It was </w:t>
      </w:r>
      <w:r>
        <w:rPr>
          <w:rFonts w:ascii="Georgia" w:hAnsi="Georgia" w:cs="Georgia" w:eastAsia="Georgia"/>
          <w:sz w:val="22"/>
          <w:szCs w:val="22"/>
          <w:b w:val="0"/>
          <w:bCs w:val="0"/>
          <w:strike w:val="0"/>
          <w:color w:val="000000"/>
          <w:shd w:val="clear" w:color="auto" w:fill="BFBFBF"/>
        </w:rPr>
        <w:t xml:space="preserve">found</w:t>
      </w:r>
      <w:r>
        <w:rPr>
          <w:rFonts w:ascii="Georgia" w:hAnsi="Georgia" w:cs="Georgia" w:eastAsia="Georgia"/>
          <w:sz w:val="22"/>
          <w:szCs w:val="22"/>
          <w:b w:val="0"/>
          <w:bCs w:val="0"/>
          <w:strike w:val="0"/>
          <w:color w:val="000000"/>
        </w:rPr>
        <w:t xml:space="preserve"> to have a significant effect on the growth and germination rate of pigeon pea in terms of days to germinate, plant height, a number of leaves, and length of leaves.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color w:val="000000"/>
        </w:rPr>
        <w:t xml:space="preserve">Sulfuric was second in terms of the scarification method effectiveness for pigeon pea, The study treatments overall </w:t>
      </w:r>
      <w:r>
        <w:rPr>
          <w:rFonts w:ascii="Georgia" w:hAnsi="Georgia" w:cs="Georgia" w:eastAsia="Georgia"/>
          <w:sz w:val="22"/>
          <w:szCs w:val="22"/>
          <w:b w:val="0"/>
          <w:bCs w:val="0"/>
          <w:strike w:val="0"/>
          <w:color w:val="000000"/>
          <w:shd w:val="clear" w:color="auto" w:fill="BFBFBF"/>
        </w:rPr>
        <w:t xml:space="preserve">proclaimed</w:t>
      </w:r>
      <w:r>
        <w:rPr>
          <w:rFonts w:ascii="Georgia" w:hAnsi="Georgia" w:cs="Georgia" w:eastAsia="Georgia"/>
          <w:sz w:val="22"/>
          <w:szCs w:val="22"/>
          <w:b w:val="0"/>
          <w:bCs w:val="0"/>
          <w:strike w:val="0"/>
          <w:color w:val="000000"/>
        </w:rPr>
        <w:t xml:space="preserve">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cs="Georgia" w:eastAsia="Georgia"/>
          <w:sz w:val="22"/>
          <w:szCs w:val="22"/>
          <w:b w:val="0"/>
          <w:bCs w:val="0"/>
          <w:strike w:val="0"/>
          <w:color w:val="000000"/>
        </w:rPr>
        <w:t xml:space="preserve">The results </w:t>
      </w:r>
      <w:r>
        <w:rPr>
          <w:rFonts w:ascii="Georgia" w:hAnsi="Georgia" w:cs="Georgia" w:eastAsia="Georgia"/>
          <w:sz w:val="22"/>
          <w:szCs w:val="22"/>
          <w:b w:val="0"/>
          <w:bCs w:val="0"/>
          <w:strike w:val="0"/>
          <w:color w:val="000000"/>
          <w:shd w:val="clear" w:color="auto" w:fill="BFBFBF"/>
        </w:rPr>
        <w:t xml:space="preserve">disclosed</w:t>
      </w:r>
      <w:r>
        <w:rPr>
          <w:rFonts w:ascii="Georgia" w:hAnsi="Georgia" w:cs="Georgia" w:eastAsia="Georgia"/>
          <w:sz w:val="22"/>
          <w:szCs w:val="22"/>
          <w:b w:val="0"/>
          <w:bCs w:val="0"/>
          <w:strike w:val="0"/>
          <w:color w:val="000000"/>
        </w:rPr>
        <w:t xml:space="preserve"> that the percentage of mortality and moisture content were statistically significant at 1% (P&lt;0.01) and (P&lt;0.05) level with 48 hours after the post-treatment.</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color w:val="000000"/>
        </w:rPr>
        <w:t xml:space="preserve">However, mortality rate and moisture content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not significant after 6 hours and 24 hours.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Therefore,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