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cs="Georgia" w:eastAsia="Georgia"/>
          <w:sz w:val="24"/>
          <w:szCs w:val="24"/>
        </w:rPr>
        <w:t xml:space="preserve">October 2026</w:t>
      </w:r>
    </w:p>
    <w:p w:rsidR="00000000" w:rsidDel="00000000" w:rsidP="00000000" w:rsidRDefault="00000000" w:rsidRPr="00000000" w14:paraId="00000027">
      <w:pPr>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Those expert norms are well documented in that literature.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Suratno &amp; Aydawati, 2025).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pPr>
        <w:spacing w:before="0" w:after="0" w:line="480" w:lineRule="auto"/>
        <w:ind w:firstLine="720"/>
        <w:jc w:val="both"/>
        <w:rPr/>
      </w:pPr>
      <w:r>
        <w:rPr>
          <w:rFonts w:ascii="Georgia" w:hAnsi="Georgia" w:cs="Georgia" w:eastAsia="Georgia"/>
          <w:i w:val="0"/>
          <w:iCs w:val="0"/>
          <w:sz w:val="22"/>
          <w:szCs w:val="22"/>
          <w:rtl w:val="0"/>
          <w:b/>
          <w:bCs/>
        </w:rPr>
        <w:t xml:space="preserve">Operational Restatement (Threshold Restatement), </w:t>
      </w:r>
      <w:r>
        <w:rPr>
          <w:rFonts w:ascii="Georgia" w:hAnsi="Georgia" w:cs="Georgia" w:eastAsia="Georgia"/>
          <w:i w:val="0"/>
          <w:iCs w:val="0"/>
          <w:sz w:val="22"/>
          <w:szCs w:val="22"/>
          <w:rtl w:val="0"/>
          <w:b w:val="0"/>
          <w:bCs w:val="0"/>
        </w:rPr>
        <w:t xml:space="preserve">conceptually, an operational restatement is a phrase that only restates a result already fixed by the measure or by a field-standard interpretive threshold, without adding a further uncertain inference. Operationally, this study applies an operational restatement test to evidential verbs (especially indicating, and where the same pattern appears with show, reveal, or demonstrate) when they link findings to a label that is definitionally fixed by the data. Examples coded FP-Gen include “non-toxic” after no mortality observed, “limited benefits” after poor performance, and “superior feed efficiency” after a lower feed conversion ratio. When the verb instead introduces a genuine inferential step beyond the measured finding, it may be retained as a lexical hedge under Stage 1 and the Working Test. In the Results discussion this rule is also referred to informally as the “indicating” tautology test because indicating is the most frequent form in the corpus.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operational restatement test (threshold restatement; informally the “indicating” tautology test) applies to evidential verbs—especially indicating, and the same pattern with show, reveal, or demonstrate—when they only restate a result already fixed by the measure or by a field-standard interpretive threshold. Numeric restatement and threshold labels are both covered: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center"/>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center"/>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center"/>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subset—not as proof of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in this corpus, Veterinary Medicine abstracts hedge less than Biology abstracts on the corrected pairwise test, a pattern not explained by binary outcome type alone. Causes (field norm, adviser practice, or other factors) cannot be identified from abstract text alone.</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assertions.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Colored highlights mark type. Colored text marks function. Grey highlights mark an unhedged assertion. Here, “potential” is retained as a Lexical hedge because it appears in a results/conclusion sentence and qualifies the claim about the extracts.</w:t>
      </w:r>
      <w:r>
        <w:rPr>
          <w:rFonts w:ascii="Georgia" w:cs="Georgia" w:eastAsia="Georgia" w:hAnsi="Georgia"/>
          <w:b w:val="0"/>
          <w:bCs w:val="0"/>
          <w:i w:val="1"/>
          <w:iCs w:val="1"/>
          <w:color w:val="404040"/>
          <w:sz w:val="22"/>
          <w:szCs w:val="22"/>
          <w:rtl w:val="0"/>
        </w:rPr>
        <w:t xml:space="preserve"/>
      </w:r>
      <w:r>
        <w:rPr>
          <w:rtl w:val="0"/>
        </w:rPr>
      </w:r>
    </w:p>
    <w:p w:rsidR="00000000" w:rsidDel="00000000" w:rsidP="00000000" w:rsidRDefault="00000000" w:rsidRPr="00000000" w14:paraId="00000247">
      <w:pPr>
        <w:keepNext w:val="1"/>
        <w:spacing w:before="60" w:after="4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4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40" w:line="288" w:lineRule="auto"/>
        <w:ind w:firstLine="720"/>
        <w:jc w:val="both"/>
        <w:rPr/>
      </w:pPr>
      <w:r>
        <w:rPr>
          <w:rFonts w:ascii="Georgia" w:hAnsi="Georgia" w:cs="Georgia" w:eastAsia="Georgia"/>
          <w:b w:val="0"/>
          <w:bCs w:val="0"/>
          <w:i w:val="1"/>
          <w:iCs w:val="1"/>
          <w:color w:val="000000"/>
          <w:sz w:val="22"/>
          <w:szCs w:val="22"/>
          <w:rtl w:val="0"/>
        </w:rPr>
        <w:t>Unhedged-assertion data, tracked separately so it never inflates RQ2 counts. Layer 3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4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xml:space="preserve">• Stage 1 excludes. Recommendations or obligations, capability, pure procedure, pure move sequencing, topic-naming with no force reduction on a claim; operational restatement of a fixed threshold or measure (FP-Gen; see Decision Rules).</w:t>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60" w:after="2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80" w:after="4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spacing w:before="40" w:after="40"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p>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 Operational restatement (threshold restatement). Evidential verbs (indicating, and where the same pattern holds for show / reveal / demonstrate) that only package a label already fixed by the measure or field convention are FP-Gen, not hedges. Examples: “indicating non-toxic effects” after no mortality; “indicating limited benefits” after poor performance; “indicating superior feed efficiency” after lower FCR. If the verb introduces a further uncertain inference beyond the measured finding, Stage 1 and the Working Test may retain it as Lexical EC. Lead example in this corpus: indicating.</w:t>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hAnsi="Georgia"/>
                <w:sz w:val="20"/>
                <w:szCs w:val="20"/>
              </w:rPr>
              <w:t xml:space="preserve">“</w:t>
            </w:r>
            <w:r>
              <w:rPr>
                <w:rFonts w:ascii="Georgia" w:hAnsi="Georgia"/>
                <w:sz w:val="20"/>
                <w:szCs w:val="20"/>
                <w:shd w:val="clear" w:color="auto" w:fill="bfbfbf"/>
              </w:rPr>
              <w:t xml:space="preserve">was</w:t>
            </w:r>
            <w:r>
              <w:rPr>
                <w:rFonts w:ascii="Georgia" w:hAnsi="Georgia"/>
                <w:sz w:val="20"/>
                <w:szCs w:val="20"/>
              </w:rPr>
              <w:t xml:space="preserve"> [G] the most compelling…” (mark) vs “Yield higher (p &lt; .05)” (omit).</w:t>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hAnsi="Georgia"/>
                <w:sz w:val="20"/>
                <w:szCs w:val="20"/>
              </w:rPr>
              <w:t xml:space="preserve">“This </w:t>
            </w:r>
            <w:r>
              <w:rPr>
                <w:rFonts w:ascii="Georgia" w:hAnsi="Georgia"/>
                <w:sz w:val="20"/>
                <w:szCs w:val="20"/>
                <w:shd w:val="clear" w:color="auto" w:fill="bfbfbf"/>
              </w:rPr>
              <w:t xml:space="preserve">led</w:t>
            </w:r>
            <w:r>
              <w:rPr>
                <w:rFonts w:ascii="Georgia" w:hAnsi="Georgia"/>
                <w:sz w:val="20"/>
                <w:szCs w:val="20"/>
              </w:rPr>
              <w:t xml:space="preserve"> [G] to the conclusion that all farms were free of it.”</w:t>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hAnsi="Georgia"/>
                <w:sz w:val="20"/>
                <w:szCs w:val="20"/>
              </w:rPr>
              <w:t xml:space="preserve">“Extracts </w:t>
            </w:r>
            <w:r>
              <w:rPr>
                <w:rFonts w:ascii="Georgia" w:hAnsi="Georgia"/>
                <w:sz w:val="20"/>
                <w:szCs w:val="20"/>
                <w:shd w:val="clear" w:color="auto" w:fill="bfbfbf"/>
              </w:rPr>
              <w:t xml:space="preserve">produce</w:t>
            </w:r>
            <w:r>
              <w:rPr>
                <w:rFonts w:ascii="Georgia" w:hAnsi="Georgia"/>
                <w:sz w:val="20"/>
                <w:szCs w:val="20"/>
              </w:rPr>
              <w:t xml:space="preserve"> [C] comparable staining because they contain similar compounds.”</w:t>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assertions = grey highlight + [G]/[C] bracket (warranted-but-absent caution only).</w:t>
      </w:r>
      <w:r>
        <w:rPr>
          <w:rtl w:val="0"/>
        </w:rPr>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Bacillus subtilis BIOTECH 1679 was assessed under greenhouse conditions. Results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highlight w:val="red"/>
          <w:color w:val="FFFFFF"/>
        </w:rPr>
        <w:t xml:space="preserve">implies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(FP-Proc)</w:t>
      </w:r>
      <w:r>
        <w:rPr>
          <w:rFonts w:ascii="Georgia" w:hAnsi="Georgia" w:cs="Georgia" w:eastAsia="Georgia"/>
          <w:sz w:val="22"/>
          <w:szCs w:val="22"/>
          <w:b w:val="0"/>
          <w:bCs w:val="0"/>
          <w:color w:val="000000"/>
        </w:rPr>
        <w:t xml:space="preserve"> the zone of inhibition in the evaluation of Antibacterial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highlight w:val="red"/>
          <w:color w:val="FFFFFF"/>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Mimosa pudica has promising antitussive properties and a wide safety margin, supporting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contribute to its therapeutic effects. Further studies are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color w:val="000000"/>
        </w:rPr>
        <w:t xml:space="preserve">The study </w:t>
      </w:r>
      <w:r>
        <w:rPr>
          <w:rFonts w:ascii="Georgia" w:hAnsi="Georgia" w:cs="Georgia" w:eastAsia="Georgia"/>
          <w:sz w:val="22"/>
          <w:szCs w:val="22"/>
          <w:b w:val="0"/>
          <w:bCs w:val="0"/>
          <w:strike/>
          <w:color w:val="000000"/>
        </w:rPr>
        <w:t xml:space="preserve">would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w:t>
      </w:r>
      <w:r>
        <w:rPr>
          <w:rFonts w:ascii="Georgia" w:hAnsi="Georgia" w:cs="Georgia" w:eastAsia="Georgia"/>
          <w:sz w:val="22"/>
          <w:szCs w:val="22"/>
          <w:b w:val="0"/>
          <w:bCs w:val="0"/>
          <w:shd w:val="clear" w:color="auto" w:fill="bfbfbf"/>
          <w:color w:val="000000"/>
        </w:rPr>
        <w:t xml:space="preserve">making</w:t>
      </w:r>
      <w:r>
        <w:rPr>
          <w:rFonts w:ascii="Georgia" w:hAnsi="Georgia" w:cs="Georgia" w:eastAsia="Georgia"/>
          <w:sz w:val="22"/>
          <w:szCs w:val="22"/>
          <w:b w:val="0"/>
          <w:bCs w:val="0"/>
          <w:color w:val="000000"/>
        </w:rPr>
        <w:t xml:space="preserve"> [G] them a weak, unsuitable material to use in building walkways. This study is essential for getting insights into eco-brick manufacture because the workability of SUPs and UCOs as raw materials is proven. The research findings do not apply to buildings. Therefore, further research </w:t>
      </w:r>
      <w:r>
        <w:rPr>
          <w:rFonts w:ascii="Georgia" w:hAnsi="Georgia" w:cs="Georgia" w:eastAsia="Georgia"/>
          <w:sz w:val="22"/>
          <w:szCs w:val="22"/>
          <w:b w:val="0"/>
          <w:bCs w:val="0"/>
          <w:strike/>
          <w:color w:val="000000"/>
        </w:rPr>
        <w:t xml:space="preserve">will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color w:val="000000"/>
        </w:rPr>
        <w:t xml:space="preserve">The study </w:t>
      </w:r>
      <w:r>
        <w:rPr>
          <w:rFonts w:ascii="Georgia" w:hAnsi="Georgia" w:cs="Georgia" w:eastAsia="Georgia"/>
          <w:sz w:val="22"/>
          <w:szCs w:val="22"/>
          <w:b w:val="0"/>
          <w:bCs w:val="0"/>
          <w:strike/>
          <w:color w:val="000000"/>
        </w:rPr>
        <w:t xml:space="preserve">generally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(FP-Proc)</w:t>
      </w:r>
      <w:r>
        <w:rPr>
          <w:rFonts w:ascii="Georgia" w:hAnsi="Georgia" w:cs="Georgia" w:eastAsia="Georgia"/>
          <w:sz w:val="22"/>
          <w:szCs w:val="22"/>
          <w:b w:val="0"/>
          <w:bCs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highlight w:val="red"/>
          <w:color w:val="FFFFFF"/>
        </w:rPr>
        <w:t xml:space="preserve">inferring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control bacterial infections caused by multi-drug resistant pathogens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color w:val="000000"/>
        </w:rPr>
        <w:t xml:space="preserve">This study aimed to identify the histoprotective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hd w:val="clear" w:color="auto" w:fill="bfbfbf"/>
          <w:color w:val="000000"/>
        </w:rPr>
        <w:t xml:space="preserve">caused</w:t>
      </w:r>
      <w:r>
        <w:rPr>
          <w:rFonts w:ascii="Georgia" w:hAnsi="Georgia" w:cs="Georgia" w:eastAsia="Georgia"/>
          <w:sz w:val="22"/>
          <w:szCs w:val="22"/>
          <w:b w:val="0"/>
          <w:bCs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strike/>
          <w:color w:val="000000"/>
        </w:rPr>
        <w:t xml:space="preserve">proposed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hd w:val="clear" w:color="auto" w:fill="bfbfbf"/>
          <w:color w:val="000000"/>
        </w:rPr>
        <w:t xml:space="preserve">provides</w:t>
      </w:r>
      <w:r>
        <w:rPr>
          <w:rFonts w:ascii="Georgia" w:hAnsi="Georgia" w:cs="Georgia" w:eastAsia="Georgia"/>
          <w:sz w:val="22"/>
          <w:szCs w:val="22"/>
          <w:b w:val="0"/>
          <w:bCs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due to [C]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color w:val="000000"/>
        </w:rPr>
        <w:t xml:space="preserve">Methicillin-resistant Staphylococcus aureus (MRSA) is a common and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severe pathogen that has developed resistance to several types of antibiotics. MRSA bacteria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selective antibacterial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address the </w:t>
      </w:r>
      <w:r>
        <w:rPr>
          <w:rFonts w:ascii="Georgia" w:hAnsi="Georgia" w:cs="Georgia" w:eastAsia="Georgia"/>
          <w:sz w:val="22"/>
          <w:szCs w:val="22"/>
          <w:b w:val="0"/>
          <w:bCs w:val="0"/>
          <w:highlight w:val="red"/>
          <w:color w:val="FFFFFF"/>
        </w:rPr>
        <w:t xml:space="preserve">possible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Trichoderma harzianum among the four isolates. The results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w:t>
      </w:r>
      <w:r>
        <w:rPr>
          <w:rFonts w:ascii="Georgia" w:hAnsi="Georgia" w:cs="Georgia" w:eastAsia="Georgia"/>
          <w:sz w:val="22"/>
          <w:szCs w:val="22"/>
          <w:b w:val="0"/>
          <w:bCs w:val="0"/>
          <w:shd w:val="clear" w:color="auto" w:fill="bfbfbf"/>
          <w:color w:val="000000"/>
        </w:rPr>
        <w:t xml:space="preserve">achieved</w:t>
      </w:r>
      <w:r>
        <w:rPr>
          <w:rFonts w:ascii="Georgia" w:hAnsi="Georgia" w:cs="Georgia" w:eastAsia="Georgia"/>
          <w:sz w:val="22"/>
          <w:szCs w:val="22"/>
          <w:b w:val="0"/>
          <w:bCs w:val="0"/>
          <w:color w:val="000000"/>
        </w:rPr>
        <w:t xml:space="preserve"> [C],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highlight w:val="red"/>
          <w:color w:val="FFFFFF"/>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highlight w:val="red"/>
          <w:color w:val="FFFFFF"/>
        </w:rPr>
        <w:t xml:space="preserve">likely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highlight w:val="red"/>
          <w:color w:val="FFFFFF"/>
        </w:rPr>
        <w:t xml:space="preserve">likely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the evaluation of retail egg vendors showed a major issue of reusing the egg trays across vendors which has been strongly </w:t>
      </w:r>
      <w:r>
        <w:rPr>
          <w:rFonts w:ascii="Georgia" w:hAnsi="Georgia" w:cs="Georgia" w:eastAsia="Georgia"/>
          <w:sz w:val="22"/>
          <w:szCs w:val="22"/>
          <w:b w:val="0"/>
          <w:bCs w:val="0"/>
          <w:shd w:val="clear" w:color="auto" w:fill="bfbfbf"/>
          <w:color w:val="000000"/>
        </w:rPr>
        <w:t xml:space="preserve">linked</w:t>
      </w:r>
      <w:r>
        <w:rPr>
          <w:rFonts w:ascii="Georgia" w:hAnsi="Georgia" w:cs="Georgia" w:eastAsia="Georgia"/>
          <w:sz w:val="22"/>
          <w:szCs w:val="22"/>
          <w:b w:val="0"/>
          <w:bCs w:val="0"/>
          <w:color w:val="000000"/>
        </w:rPr>
        <w:t xml:space="preserve"> [C] to bacterial growth on eggshells, yolks and albumen, with p-values of 0.030 and 0.014, respectively. The findings </w:t>
      </w:r>
      <w:r>
        <w:rPr>
          <w:rFonts w:ascii="Georgia" w:hAnsi="Georgia" w:cs="Georgia" w:eastAsia="Georgia"/>
          <w:sz w:val="22"/>
          <w:szCs w:val="22"/>
          <w:b w:val="0"/>
          <w:bCs w:val="0"/>
          <w:strike/>
          <w:color w:val="000000"/>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strike/>
          <w:color w:val="000000"/>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strike/>
          <w:color w:val="000000"/>
        </w:rPr>
        <w:t xml:space="preserve">needed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strike/>
          <w:color w:val="000000"/>
        </w:rPr>
        <w:t xml:space="preserve">recommend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hd w:val="clear" w:color="auto" w:fill="bfbfbf"/>
          <w:color w:val="000000"/>
        </w:rPr>
        <w:t xml:space="preserve">were</w:t>
      </w:r>
      <w:r>
        <w:rPr>
          <w:rFonts w:ascii="Georgia" w:hAnsi="Georgia" w:cs="Georgia" w:eastAsia="Georgia"/>
          <w:sz w:val="22"/>
          <w:szCs w:val="22"/>
          <w:b w:val="0"/>
          <w:bCs w:val="0"/>
          <w:color w:val="000000"/>
        </w:rPr>
        <w:t xml:space="preserve"> sensitive [G]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strike/>
          <w:color w:val="000000"/>
        </w:rPr>
        <w:t xml:space="preserve">possibility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Pr>
          <w:rFonts w:ascii="Georgia" w:hAnsi="Georgia" w:cs="Georgia" w:eastAsia="Georgia"/>
          <w:sz w:val="20"/>
          <w:szCs w:val="20"/>
          <w:b w:val="0"/>
          <w:bCs w:val="0"/>
          <w:color w:val="000000"/>
        </w:rPr>
        <w:t xml:space="preserve"/>
      </w:r>
      <w:r>
        <w:rPr>
          <w:rFonts w:ascii="Georgia" w:hAnsi="Georgia" w:cs="Georgia" w:eastAsia="Georgia"/>
          <w:sz w:val="22"/>
          <w:szCs w:val="22"/>
          <w:b w:val="0"/>
          <w:bCs w:val="0"/>
          <w:color w:val="000000"/>
        </w:rPr>
        <w:t xml:space="preserve"/>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hd w:val="clear" w:color="auto" w:fill="bfbfbf"/>
          <w:color w:val="000000"/>
        </w:rPr>
        <w:t xml:space="preserve">has</w:t>
      </w:r>
      <w:r>
        <w:rPr>
          <w:rFonts w:ascii="Georgia" w:hAnsi="Georgia" w:cs="Georgia" w:eastAsia="Georgia"/>
          <w:sz w:val="22"/>
          <w:szCs w:val="22"/>
          <w:b w:val="0"/>
          <w:bCs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color w:val="000000"/>
        </w:rPr>
        <w:t xml:space="preserve">Zoonotic diseases are a significant public health concern, particularly those that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while statistical significance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have been observed, the mycorrhiza treatment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still offer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while the differences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have been significant in the study, the researchers believe that mycorrhiza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benefits for plant growth. Further research </w:t>
      </w:r>
      <w:r>
        <w:rPr>
          <w:rFonts w:ascii="Georgia" w:hAnsi="Georgia" w:cs="Georgia" w:eastAsia="Georgia"/>
          <w:sz w:val="22"/>
          <w:szCs w:val="22"/>
          <w:b w:val="0"/>
          <w:bCs w:val="0"/>
          <w:strike/>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survive the water treatment application but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establish roots and die after several days. However, it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Trichoderma and fermented azolla at proper application frequencies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hd w:val="clear" w:color="auto" w:fill="bfbfbf"/>
          <w:color w:val="000000"/>
        </w:rPr>
        <w:t xml:space="preserve">influenced</w:t>
      </w:r>
      <w:r>
        <w:rPr>
          <w:rFonts w:ascii="Georgia" w:hAnsi="Georgia" w:cs="Georgia" w:eastAsia="Georgia"/>
          <w:sz w:val="22"/>
          <w:szCs w:val="22"/>
          <w:b w:val="0"/>
          <w:bCs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strike/>
          <w:color w:val="000000"/>
        </w:rPr>
        <w:t xml:space="preserve">recommends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soaking sugarcane setts in Azospirillum spp. biofertilizer for 24 hours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hd w:val="clear" w:color="auto" w:fill="bfbfbf"/>
          <w:color w:val="000000"/>
        </w:rPr>
        <w:t xml:space="preserve">had</w:t>
      </w:r>
      <w:r>
        <w:rPr>
          <w:rFonts w:ascii="Georgia" w:hAnsi="Georgia" w:cs="Georgia" w:eastAsia="Georgia"/>
          <w:sz w:val="22"/>
          <w:szCs w:val="22"/>
          <w:b w:val="0"/>
          <w:bCs w:val="0"/>
          <w:color w:val="000000"/>
        </w:rPr>
        <w:t xml:space="preserve"> [C] the biggest impact, resulting in the heaviest weight. Additionally, the total return result </w:t>
      </w:r>
      <w:r>
        <w:rPr>
          <w:rFonts w:ascii="Georgia" w:hAnsi="Georgia" w:cs="Georgia" w:eastAsia="Georgia"/>
          <w:sz w:val="22"/>
          <w:szCs w:val="22"/>
          <w:b w:val="0"/>
          <w:bCs w:val="0"/>
          <w:shd w:val="clear" w:color="auto" w:fill="bfbfbf"/>
          <w:color w:val="000000"/>
        </w:rPr>
        <w:t xml:space="preserve">showed</w:t>
      </w:r>
      <w:r>
        <w:rPr>
          <w:rFonts w:ascii="Georgia" w:hAnsi="Georgia" w:cs="Georgia" w:eastAsia="Georgia"/>
          <w:sz w:val="22"/>
          <w:szCs w:val="22"/>
          <w:b w:val="0"/>
          <w:bCs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highlight w:val="red"/>
          <w:color w:val="FFFFFF"/>
        </w:rPr>
        <w:t xml:space="preserve">implies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strike/>
          <w:color w:val="000000"/>
        </w:rPr>
        <w:t xml:space="preserve">will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seen as a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found to have a significant effect on the growth and germination rate of pigeon pea in terms of days to germinate, plant height, a number of leaves, and length of leaves. Sulfuric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second [G]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highlight w:val="red"/>
          <w:color w:val="FFFFFF"/>
        </w:rPr>
        <w:t xml:space="preserve">implying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improve final weight, while feeding 10% fermented Madre De Agua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superior feed efficiency and improved survivability to T2. Based on the results of the study,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color w:val="00000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an alternative feed ration for rabbits without adverse effects, and considering that azolla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help breeders to lessen the feed cost in production.</w:t>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