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used for classification after a token is retained. They are not treated as mutually exclusive categories in the wider literature. Interpersonal or deferential wording can overlap with epistemic stance in context. Retention depends on the Working Test: the item must change the epistemic weight of the claim. Interpersonal coloring alone is not enough. Discourse-organizing expressions are not ruled out in advance, but they are retained only when their use in context changes commitment to the proposition. Expressions that only sequence, label, or direct attention are not classified as hedges. This inclusion rule is consistent with Crompton (1997), who defines a hedge as language that explicitly qualifies the writer's lack of commitment to the truth of a proposition, and who tests for hedging by asking whether the proposition can be restated with greater author commitment without changing its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only to support an epistemically focused identification screen.</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also code mitigation more broadly, without the epistemic-only filter used here.</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Fonts w:ascii="Georgia" w:hAnsi="Georgia" w:cs="Georgia" w:eastAsia="Georgia"/>
          <w:i w:val="0"/>
          <w:iCs w:val="0"/>
          <w:sz w:val="22"/>
          <w:szCs w:val="22"/>
          <w:rtl w:val="0"/>
          <w:b w:val="0"/>
          <w:bCs w:val="0"/>
        </w:rPr>
        <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consists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under the Working Test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The absence of Politeness and Discourse Organization assignments among the 65 retained hedges should not be read as evidence that those functions are absent from PSAU student writing overall. The Working Test retains items that change epistemic weight, so the identification procedure is epistemically focused. Tokens that soften a claim without altering epistemic commitment may be excluded before functional classification. The compressed abstract genre may also limit rhetorical space for interactional or discourse-organizational mitigation. The present data cannot separate a coding effect from a genre effect. Both remain plausible accounts of the observed uniformity. That limitation is noted in Scope. The narrow functional range among retained hedges is consistent with restricted epistemic repertoires reported for developing L2 writers (Hyland &amp; Milton, 1997), though genre compression and supervisory practice remain proximate accounts in this corpus.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screen itself selects for tokens that change epistemic weight, so a single function label is partly built into the method.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Future research could adopt a broader mitigation coding scheme to study interpersonal and discourse-organizing functions alongside epistemic ones. This study defined hedging as epistemic stance management, drawing mainly on Hyland (1998) and Salager-Meyer (1994), and applied the Working Test so that retained hedges are those that change the epistemic weight of a claim. That focus aligns with Crompton (1997) in reserving hedge for explicit qualification of commitment to a proposition. All retained hedges were coded Epistemic Caution under that screen. The uniform function label is therefore partly a result of how hedges were identified, not a claim that Politeness or Discourse Organization never appear in developing-researcher writing. A future study could code mitigation more broadly, including devices that soften or qualify claims even when they do not pass a strict epistemic filter, and then classify epistemic, politeness, and discourse-organizing uses under that wider net. Such work would test whether interactional and textual mitigation appear in the abstract genre when the coding scheme is designed to capture them.</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