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 Philosophy and Psychology hedged more than Physics and History, 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 different genre, same point that hedging is context-sensitive.</w:t>
      </w:r>
      <w:r>
        <w:rPr>
          <w:rtl w:val="0"/>
        </w:rPr>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and Afshar et al., 2014). Developing researchers across contexts show limited hedge variety and tend to default to modal verbs (Khunasathitchai et al., 2025, and Wang, 2022). L2 writers face additional constraints from linguistic factors and limited explicit instruction (Demir, 2018, and Petchkij, 2019). Philippine and ASEAN studies confirm reliance on modals and, in some contexts, a preference for boosters (Ningrum et al., 2024, and Escalona, 2025, and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type-function pairings to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a knowledge claim about findings more categorical or more direct, or reduces imposition in how that claim is put forward. That gate admits epistemic, politeness, and discourse-managing mitigation of claims; it excludes deontic recommendations and pure move sequencing.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at Stage 2, not as the sole Stage 1 retention rule.</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b w:val="1"/>
          <w:bCs w:val="1"/>
          <w:rtl w:val="0"/>
        </w:rPr>
        <w:t xml:space="preserve">For writing instructors and thesis advisers at PSAU, </w:t>
      </w:r>
      <w:r>
        <w:rPr>
          <w:rFonts w:ascii="Georgia" w:hAnsi="Georgia" w:cs="Georgia" w:eastAsia="Georgia"/>
          <w:b w:val="0"/>
          <w:bCs w:val="0"/>
          <w:rtl w:val="0"/>
        </w:rPr>
        <w:t xml:space="preserve">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b w:val="1"/>
          <w:bCs w:val="1"/>
          <w:rtl w:val="0"/>
        </w:rPr>
        <w:t xml:space="preserve">For academic writing researchers, </w:t>
      </w:r>
      <w:r>
        <w:rPr>
          <w:rFonts w:ascii="Georgia" w:hAnsi="Georgia" w:cs="Georgia" w:eastAsia="Georgia"/>
          <w:b w:val="0"/>
          <w:bCs w:val="0"/>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b w:val="1"/>
          <w:bCs w:val="1"/>
          <w:rtl w:val="0"/>
        </w:rPr>
        <w:t xml:space="preserve">For the BAELS program, </w:t>
      </w:r>
      <w:r>
        <w:rPr>
          <w:rFonts w:ascii="Georgia" w:hAnsi="Georgia" w:cs="Georgia" w:eastAsia="Georgia"/>
          <w:b w:val="0"/>
          <w:bCs w:val="0"/>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b w:val="1"/>
          <w:bCs w:val="1"/>
          <w:rtl w:val="0"/>
        </w:rPr>
        <w:t xml:space="preserve">For future researchers, </w:t>
      </w:r>
      <w:r>
        <w:rPr>
          <w:rFonts w:ascii="Georgia" w:hAnsi="Georgia" w:cs="Georgia" w:eastAsia="Georgia"/>
          <w:b w:val="0"/>
          <w:bCs w:val="0"/>
          <w:rtl w:val="0"/>
        </w:rPr>
        <w:t xml:space="preserve">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Stage 1–2 scheme to longer genres where P and DO may appear more often.</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and framing-DO items did not appear. Expert abstracts in the same three disciplines, coded with the same Stage 1–2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Chi-Square Test of Independence, </w:t>
      </w:r>
      <w:r>
        <w:rPr>
          <w:rFonts w:ascii="Georgia" w:cs="Georgia" w:eastAsia="Georgia" w:hAnsi="Georgia"/>
          <w:b w:val="0"/>
          <w:bCs w:val="0"/>
          <w:i w:val="0"/>
          <w:iCs w:val="0"/>
          <w:sz w:val="22"/>
          <w:szCs w:val="22"/>
          <w:rtl w:val="0"/>
        </w:rPr>
        <w:t xml:space="preserve">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Cohen’s Kappa (κ), </w:t>
      </w:r>
      <w:r>
        <w:rPr>
          <w:rFonts w:ascii="Georgia" w:cs="Georgia" w:eastAsia="Georgia" w:hAnsi="Georgia"/>
          <w:b w:val="0"/>
          <w:bCs w:val="0"/>
          <w:i w:val="0"/>
          <w:iCs w:val="0"/>
          <w:sz w:val="22"/>
          <w:szCs w:val="22"/>
          <w:rtl w:val="0"/>
        </w:rPr>
        <w:t xml:space="preserve">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Epistemic Weight, </w:t>
      </w:r>
      <w:r>
        <w:rPr>
          <w:rFonts w:ascii="Georgia" w:cs="Georgia" w:eastAsia="Georgia" w:hAnsi="Georgia"/>
          <w:b w:val="0"/>
          <w:bCs w:val="0"/>
          <w:i w:val="0"/>
          <w:iCs w:val="0"/>
          <w:sz w:val="22"/>
          <w:szCs w:val="22"/>
          <w:rtl w:val="0"/>
        </w:rPr>
        <w:t xml:space="preserve">conceptually, epistemic weight is the strength of the writer’s commitment to the truth of a proposition (how certain or tentative the claim is). Operationally, a change in epistemic weight supports an EC function label at Stage 2; Stage 1 retention uses the broader force / directness test on knowledge claims (imposition only as interpersonal softening of a claim, not as a directive).</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Kruskal-Wallis Test, </w:t>
      </w:r>
      <w:r>
        <w:rPr>
          <w:rFonts w:ascii="Georgia" w:cs="Georgia" w:eastAsia="Georgia" w:hAnsi="Georgia"/>
          <w:b w:val="0"/>
          <w:bCs w:val="0"/>
          <w:i w:val="0"/>
          <w:iCs w:val="0"/>
          <w:sz w:val="22"/>
          <w:szCs w:val="22"/>
          <w:rtl w:val="0"/>
        </w:rPr>
        <w:t xml:space="preserve">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7.39, p = .025.</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rPr>
        <w:t xml:space="preserve">conceptually, the Mann-Whitney U test (also called the Wilcoxon rank-sum test) is a non-parametric test that compares the distributions of a continuous or ordinal variable between two independent groups. Operationally, this study used it as an exploratory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Rescue-Hedging (Rescue Framing), </w:t>
      </w:r>
      <w:r>
        <w:rPr>
          <w:rFonts w:ascii="Georgia" w:cs="Georgia" w:eastAsia="Georgia" w:hAnsi="Georgia"/>
          <w:b w:val="0"/>
          <w:bCs w:val="0"/>
          <w:i w:val="0"/>
          <w:iCs w:val="0"/>
          <w:sz w:val="22"/>
          <w:szCs w:val="22"/>
          <w:rtl w:val="0"/>
        </w:rPr>
        <w:t xml:space="preserve">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Softening, </w:t>
      </w:r>
      <w:r>
        <w:rPr>
          <w:rFonts w:ascii="Georgia" w:cs="Georgia" w:eastAsia="Georgia" w:hAnsi="Georgia"/>
          <w:b w:val="0"/>
          <w:bCs w:val="0"/>
          <w:i w:val="0"/>
          <w:iCs w:val="0"/>
          <w:sz w:val="22"/>
          <w:szCs w:val="22"/>
          <w:rtl w:val="0"/>
        </w:rPr>
        <w:t xml:space="preserve">conceptually, softening is the reduction of force, directness, imposition, or interpersonal impact in a statement. Operationally, Stage 1 retention tracks softening of force or directness on knowledge claims (and interpersonal imposition on how claims are put forward); Stage 2 sorts epistemic (EC), interpersonal (P), and discourse-managing (DO) uses. Directives remain excluded.</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rarely treated as a distinct rhetorical skill in many Philippine undergraduate writing courses, which tend to emphasize structure and grammatical correctness.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t xml:space="preserve">e. Data Analysis. </w:t>
      </w:r>
      <w:r>
        <w:rPr>
          <w:rFonts w:ascii="Georgia" w:hAnsi="Georgia" w:cs="Georgia" w:eastAsia="Georgia"/>
          <w:i w:val="0"/>
          <w:iCs w:val="0"/>
          <w:sz w:val="22"/>
          <w:szCs w:val="22"/>
          <w:rtl w:val="0"/>
          <w:b w:val="0"/>
          <w:bCs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720" w:after="0" w:line="480" w:lineRule="auto"/>
        <w:jc w:val="center"/>
      </w:pPr>
      <w:r>
        <w:rPr>
          <w:rFonts w:ascii="Georgia" w:hAnsi="Georgia"/>
          <w:b/>
          <w:sz w:val="24"/>
        </w:rPr>
        <w:t>Table 1</w:t>
      </w:r>
    </w:p>
    <w:p>
      <w:pPr>
        <w:keepNext w:val="1"/>
        <w:spacing w:before="0" w:after="60" w:line="480" w:lineRule="auto"/>
        <w:jc w:val="both"/>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0"/>
          <w:bCs w:val="0"/>
          <w:i w:val="0"/>
          <w:iCs w:val="0"/>
          <w:sz w:val="22"/>
          <w:szCs w:val="22"/>
          <w:rtl w:val="0"/>
        </w:rPr>
        <w:t>Inclusion Criteria. English-language undergraduate thesis abstracts. Complete abstracts available in the PSAU library archives. Clear disciplinary classification based on official degree program. Hard-bound submission year (as recorded in the PSAU library catalog)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0"/>
          <w:bCs w:val="0"/>
          <w:i w:val="0"/>
          <w:iCs w:val="0"/>
          <w:sz w:val="22"/>
          <w:szCs w:val="22"/>
          <w:rtl w:val="0"/>
        </w:rPr>
        <w:t>Exclusion Criteria. 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b w:val="0"/>
          <w:bCs w:val="1"/>
          <w:i w:val="0"/>
          <w:iCs w:val="0"/>
          <w:rtl w:val="0"/>
          <w:sz w:val="22"/>
          <w:szCs w:val="22"/>
        </w:rPr>
        <w:t>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spacing w:before="720" w:after="0" w:line="480" w:lineRule="auto"/>
        <w:jc w:val="center"/>
      </w:pPr>
      <w:r>
        <w:rPr>
          <w:rFonts w:ascii="Georgia" w:hAnsi="Georgia"/>
          <w:b/>
          <w:sz w:val="24"/>
        </w:rPr>
        <w:t>Table 2</w:t>
      </w:r>
    </w:p>
    <w:p>
      <w:pPr>
        <w:keepNext w:val="1"/>
        <w:spacing w:before="0" w:after="60" w:line="480" w:lineRule="auto"/>
        <w:jc w:val="both"/>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Layer 1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100.0%</w:t>
            </w:r>
          </w:p>
        </w:tc>
      </w:tr>
    </w:tbl>
    <w:p>
      <w:pPr>
        <w:spacing w:before="120" w:after="0" w:line="480" w:lineRule="auto"/>
        <w:ind w:firstLine="720"/>
      </w:pPr>
      <w:r>
        <w:rPr>
          <w:rFonts w:ascii="Georgia" w:hAnsi="Georgia" w:cs="Georgia" w:eastAsia="Georgia"/>
          <w:sz w:val="22"/>
          <w:szCs w:val="22"/>
        </w:rPr>
        <w:t>Table 3 lists every retained hedge form in the corpus with its Layer 1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b/>
          <w:sz w:val="24"/>
        </w:rPr>
        <w:t>Table 4</w:t>
      </w:r>
    </w:p>
    <w:p>
      <w:pPr>
        <w:keepNext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under the codebook’s Stage 1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Stage 1 force reduction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5’s Unhedged sites column reports the corpus-wide total of 37.) These sites represent clauses where a hedge could have been inserted without changing the underlying facts, but no hedge was used. Layer 3 is included as a descriptive inventory of where hedging is absent in this corpus, not as a comparative claim against an expert or cross-discipline baseline. Without a matched comparison group, the counts document absence of overt hedges in specific claim environments. They do not measure underuse relative to a norm.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Whether the 41.7% zero-hedge rate in this corpus is high relative to expert abstracts specifically cannot be established here, because no matched expert-abstract baseline is available.</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sites, and normalized frequency (hedges per 100 words) for each discipline.</w:t>
      </w:r>
      <w:r>
        <w:rPr>
          <w:rtl w:val="0"/>
        </w:rPr>
      </w:r>
    </w:p>
    <w:p>
      <w:pPr>
        <w:keepNext w:val="1"/>
        <w:spacing w:before="720" w:after="0" w:line="480" w:lineRule="auto"/>
        <w:jc w:val="center"/>
      </w:pPr>
      <w:r>
        <w:rPr>
          <w:rFonts w:ascii="Georgia" w:hAnsi="Georgia"/>
          <w:b/>
          <w:sz w:val="24"/>
        </w:rPr>
        <w:t>Table 5</w:t>
      </w:r>
    </w:p>
    <w:p>
      <w:pPr>
        <w:keepNext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Unhedged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7.39, p = .025.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Veterinary Medicine is the field that differs.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spacing w:before="720" w:after="0" w:line="480" w:lineRule="auto"/>
        <w:jc w:val="center"/>
      </w:pPr>
      <w:r>
        <w:rPr>
          <w:rFonts w:ascii="Georgia" w:hAnsi="Georgia"/>
          <w:b/>
          <w:sz w:val="24"/>
        </w:rPr>
        <w:t>Table 6</w:t>
      </w:r>
    </w:p>
    <w:p>
      <w:pPr>
        <w:keepNext w:val="1"/>
        <w:spacing w:before="0" w:after="60" w:line="480" w:lineRule="auto"/>
        <w:jc w:val="both"/>
      </w:pPr>
      <w:r>
        <w:rPr>
          <w:rFonts w:ascii="Georgia" w:hAnsi="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Most hedges fall in implication and conclusion sentences rather than in direct results reporting. Forms such as potential and suggest/suggests/suggesting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appeared, and sequence-only DO was excluded at Stage 1.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Parts I through III map frequency, function, and cross-disciplinary density. The contrasts below are exploratory descriptions of what was observed here, not stable discipline-level characteristics. As reported in Part II, the Kruskal-Wallis test on rates reached p = .025. Exploratory pairwise Mann-Whitney tests with Bonferroni correction leave only the Biology–Veterinary Medicine contrast significant. The chi-square on zero-hedge rates was p = .079. Generalization beyond this corpus is not warranted. The patterns are read through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val="1"/>
          <w:tblHeader w:val="1"/>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val="1"/>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val="1"/>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val="1"/>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val="1"/>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val="1"/>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val="1"/>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Fonts w:ascii="Georgia" w:hAnsi="Georgia" w:cs="Georgia" w:eastAsia="Georgia"/>
          <w:rtl w:val="0"/>
          <w:sz w:val="22"/>
          <w:szCs w:val="22"/>
        </w:rPr>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The study cannot separate genuine field norms from adviser-enforced conventions. The findings describe the ratified abstracts, not individual cognition.</w:t>
      </w:r>
      <w:r>
        <w:rPr>
          <w:rFonts w:ascii="Georgia" w:hAnsi="Georgia" w:cs="Georgia" w:eastAsia="Georgia"/>
          <w:rtl w:val="0"/>
          <w:sz w:val="22"/>
          <w:szCs w:val="22"/>
        </w:rPr>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Every retained hedge was coded as Epistemic Caution at Stage 2. No P candidates appeared in the corpus; sequence-only DO was not counted. The functional result describes this sample’s retained set under the Stage 1–2 procedure.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Statistical evidence is exploratory (Kruskal-Wallis on rates p = .025, and pairwise Mann-Whitney tests with Bonferroni correction leave Biology–Veterinary Medicine as the surviving contrast) and the sample is small. The study provides a local baseline: VM abstracts in this corpus hedge less. The causes remain unknown.</w:t>
      </w:r>
      <w:r>
        <w:rPr>
          <w:rtl w:val="0"/>
        </w:rPr>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One hypothesis worth testing is whether program-level expectations in Veterinary Medicine discourage or rarely require hedging in abstracts. The present study does not provide evidence that VM advisers hold that stance. Adviser interviews would be needed to test it. Parallel work could also compare how often each discipline writes up non-significant findings and whether null write-ups invite different hedging choices, while recognizing that outcome type and discipline are entangled in this sample.</w:t>
      </w:r>
      <w:r>
        <w:rPr>
          <w:rtl w:val="0"/>
        </w:rPr>
      </w:r>
    </w:p>
    <w:p>
      <w:pPr>
        <w:spacing w:before="0" w:after="0" w:line="480" w:lineRule="auto"/>
        <w:ind w:firstLine="720"/>
        <w:jc w:val="both"/>
        <w:rPr/>
      </w:pPr>
      <w:r>
        <w:rPr>
          <w:rFonts w:ascii="Georgia" w:hAnsi="Georgia"/>
          <w:sz w:val="22"/>
          <w:szCs w:val="22"/>
        </w:rPr>
        <w:t xml:space="preserve">This study’s Stage 1 gate admits force, directness, and imposition reduction so that P and DO are not excluded by definition. In this sample, retained tokens were still all EC at Stage 2. Future work could apply the same Stage 1–2 scheme to full thesis chapters or expert abstracts, where interpersonal and discourse-managing mitigation may appear more often than in compressed undergraduate abstracts.</w:t>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both"/>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both"/>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both"/>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both"/>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both"/>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pPr>
        <w:spacing w:before="0" w:after="0" w:line="480" w:lineRule="auto"/>
        <w:ind w:left="720" w:hanging="720"/>
        <w:jc w:val="both"/>
        <w:rPr/>
      </w:pPr>
      <w:r>
        <w:rPr>
          <w:rFonts w:ascii="Georgia" w:hAnsi="Georgia"/>
          <w:sz w:val="22"/>
          <w:szCs w:val="22"/>
        </w:rPr>
        <w:t xml:space="preserve">Crompton, P. (1997). Hedging in academic writing: Some theoretical problems. English for Specific Purposes, 16(4), 271-287. https://www.academia.edu/50160307/Hedging_in_academic_writing_Some_theoretical_problems</w:t>
      </w:r>
    </w:p>
    <w:p w:rsidR="00000000" w:rsidDel="00000000" w:rsidP="00000000" w:rsidRDefault="00000000" w:rsidRPr="00000000" w14:paraId="0000018B">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both"/>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both"/>
        <w:rPr/>
      </w:pPr>
      <w:r>
        <w:rPr>
          <w:rFonts w:ascii="Georgia" w:cs="Georgia" w:eastAsia="Georgia" w:hAnsi="Georgia"/>
          <w:b w:val="0"/>
          <w:bCs w:val="0"/>
          <w:i w:val="0"/>
          <w:iCs w:val="0"/>
          <w:sz w:val="22"/>
          <w:szCs w:val="22"/>
          <w:rtl w:val="0"/>
        </w:rPr>
        <w:t>Khunasathitchai, K., Sittironnarit, S., Sinturat, T., &amp; Kumdee, S. (2025). Move analysis and hedge use in the research paper abstracts of Thai EFL English-majored undergraduates. rEFLections, 32(2), 951–973. https://doi.org/10.61508/refl.v32i2.282512</w:t>
      </w:r>
      <w:r>
        <w:rPr>
          <w:rFonts w:ascii="Georgia" w:cs="Georgia" w:eastAsia="Georgia" w:hAnsi="Georgia"/>
          <w:b w:val="0"/>
          <w:bCs w:val="0"/>
          <w:i w:val="1"/>
          <w:iCs w:val="1"/>
          <w:sz w:val="22"/>
          <w:szCs w:val="22"/>
          <w:rtl w:val="0"/>
        </w:rPr>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192">
      <w:pPr>
        <w:spacing w:before="0" w:after="0" w:line="480" w:lineRule="auto"/>
        <w:ind w:left="720" w:hanging="720"/>
        <w:jc w:val="both"/>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both"/>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both"/>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both"/>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both"/>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both"/>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both"/>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both"/>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both"/>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spacing w:before="40" w:after="20" w:line="264"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0" w:after="0" w:line="264" w:lineRule="auto"/>
        <w:jc w:val="both"/>
        <w:rPr/>
      </w:pPr>
      <w:r>
        <w:rPr>
          <w:rFonts w:ascii="Georgia" w:hAnsi="Georgia" w:cs="Georgia" w:eastAsia="Georgia"/>
          <w:sz w:val="22"/>
          <w:szCs w:val="22"/>
        </w:rPr>
        <w:t xml:space="preserve">This appendix is the full coding protocol used for the study. It opens with a one-page quick-reference, then a one-page legend and coding-sheet section, then the operational layers, decision rules, false-positive categories, and recording conventions.</w:t>
      </w:r>
    </w:p>
    <w:p w:rsidR="00000000" w:rsidDel="00000000" w:rsidP="00000000" w:rsidRDefault="00000000" w:rsidRPr="00000000" w14:paraId="000001A2">
      <w:pPr>
        <w:keepNext w:val="1"/>
        <w:spacing w:before="40" w:after="20" w:line="264" w:lineRule="auto"/>
        <w:ind w:firstLine="720"/>
        <w:jc w:val="left"/>
        <w:rPr/>
      </w:pPr>
      <w:r>
        <w:rPr>
          <w:rFonts w:ascii="Georgia" w:cs="Georgia" w:eastAsia="Georgia" w:hAnsi="Georgia"/>
          <w:b w:val="1"/>
          <w:bCs w:val="1"/>
          <w:sz w:val="22"/>
          <w:szCs w:val="22"/>
          <w:rtl w:val="0"/>
        </w:rPr>
        <w:t xml:space="preserve">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sz w:val="22"/>
          <w:szCs w:val="22"/>
        </w:rPr>
      </w:r>
    </w:p>
    <w:p w:rsidR="00000000" w:rsidDel="00000000" w:rsidP="00000000" w:rsidRDefault="00000000" w:rsidRPr="00000000" w14:paraId="000001A4">
      <w:pPr>
        <w:keepNext w:val="1"/>
        <w:spacing w:before="24" w:after="0" w:line="264" w:lineRule="auto"/>
        <w:jc w:val="left"/>
        <w:rPr/>
      </w:pPr>
      <w:r>
        <w:rPr>
          <w:rFonts w:ascii="Georgia" w:cs="Georgia" w:eastAsia="Georgia" w:hAnsi="Georgia"/>
          <w:b w:val="1"/>
          <w:bCs w:val="1"/>
          <w:sz w:val="22"/>
          <w:szCs w:val="22"/>
          <w:rtl w:val="0"/>
        </w:rPr>
        <w:t xml:space="preserve">Hedge 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force or certainty of a claim and pass Stage 1.</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sz w:val="22"/>
          <w:szCs w:val="22"/>
        </w:rPr>
      </w:r>
    </w:p>
    <w:p w:rsidR="00000000" w:rsidDel="00000000" w:rsidP="00000000" w:rsidRDefault="00000000" w:rsidRPr="00000000" w14:paraId="000001A9">
      <w:pPr>
        <w:keepNext w:val="1"/>
        <w:spacing w:before="24" w:after="0" w:line="264" w:lineRule="auto"/>
        <w:ind w:firstLine="720"/>
        <w:jc w:val="left"/>
        <w:rPr/>
      </w:pPr>
      <w:r>
        <w:rPr>
          <w:rFonts w:ascii="Georgia" w:cs="Georgia" w:eastAsia="Georgia" w:hAnsi="Georgia"/>
          <w:b w:val="1"/>
          <w:bCs w:val="1"/>
          <w:sz w:val="22"/>
          <w:szCs w:val="22"/>
          <w:rtl w:val="0"/>
        </w:rPr>
        <w:t xml:space="preserve">Hedge functions</w:t>
      </w:r>
      <w:r>
        <w:rPr>
          <w:rtl w:val="0"/>
          <w:sz w:val="22"/>
          <w:szCs w:val="22"/>
        </w:rPr>
      </w:r>
    </w:p>
    <w:p w:rsidR="00000000" w:rsidDel="00000000" w:rsidP="00000000" w:rsidRDefault="00000000" w:rsidRPr="00000000" w14:paraId="000001AA">
      <w:pPr>
        <w:spacing w:before="0" w:after="0" w:line="264"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sz w:val="22"/>
          <w:szCs w:val="22"/>
        </w:rPr>
      </w:r>
    </w:p>
    <w:p w:rsidR="00000000" w:rsidDel="00000000" w:rsidP="00000000" w:rsidRDefault="00000000" w:rsidRPr="00000000" w14:paraId="000001AB">
      <w:pPr>
        <w:spacing w:before="0" w:after="0" w:line="264"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sz w:val="22"/>
          <w:szCs w:val="22"/>
        </w:rPr>
      </w:r>
    </w:p>
    <w:p w:rsidR="00000000" w:rsidDel="00000000" w:rsidP="00000000" w:rsidRDefault="00000000" w:rsidRPr="00000000" w14:paraId="000001AC">
      <w:pPr>
        <w:spacing w:before="0" w:after="0" w:line="264"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sz w:val="22"/>
          <w:szCs w:val="22"/>
        </w:rPr>
      </w:r>
    </w:p>
    <w:p w:rsidR="00000000" w:rsidDel="00000000" w:rsidP="00000000" w:rsidRDefault="00000000" w:rsidRPr="00000000" w14:paraId="000001AD">
      <w:pPr>
        <w:keepNext w:val="1"/>
        <w:spacing w:before="24" w:after="0" w:line="264" w:lineRule="auto"/>
        <w:ind w:firstLine="720"/>
        <w:jc w:val="left"/>
        <w:rPr/>
      </w:pPr>
      <w:r>
        <w:rPr>
          <w:rFonts w:ascii="Georgia" w:cs="Georgia" w:eastAsia="Georgia" w:hAnsi="Georgia"/>
          <w:b w:val="1"/>
          <w:bCs w:val="1"/>
          <w:sz w:val="22"/>
          <w:szCs w:val="22"/>
          <w:rtl w:val="0"/>
        </w:rPr>
        <w:t xml:space="preserve">Core decision rules</w:t>
      </w:r>
      <w:r>
        <w:rPr>
          <w:rtl w:val="0"/>
          <w:sz w:val="22"/>
          <w:szCs w:val="22"/>
        </w:rPr>
      </w:r>
    </w:p>
    <w:p w:rsidR="00000000" w:rsidDel="00000000" w:rsidP="00000000" w:rsidRDefault="00000000" w:rsidRPr="00000000" w14:paraId="000001AE">
      <w:pPr>
        <w:spacing w:before="0" w:after="0" w:line="264" w:lineRule="auto"/>
        <w:ind w:left="240" w:firstLine="720"/>
        <w:jc w:val="both"/>
        <w:rPr/>
      </w:pPr>
      <w:r>
        <w:rPr>
          <w:rFonts w:ascii="Georgia" w:hAnsi="Georgia" w:cs="Georgia" w:eastAsia="Georgia"/>
          <w:rtl w:val="0"/>
          <w:i/>
          <w:iCs/>
          <w:sz w:val="22"/>
          <w:szCs w:val="22"/>
        </w:rPr>
        <w:t xml:space="preserve">suggest / indicate becomes hedge when introducing a finding. Not a hedge when introducing a recommendation.</w:t>
      </w:r>
      <w:r>
        <w:rPr>
          <w:rtl w:val="0"/>
          <w:rFonts w:ascii="Georgia" w:hAnsi="Georgia"/>
          <w:sz w:val="22"/>
          <w:szCs w:val="22"/>
          <w:i/>
          <w:iCs/>
        </w:rPr>
      </w:r>
    </w:p>
    <w:p w:rsidR="00000000" w:rsidDel="00000000" w:rsidP="00000000" w:rsidRDefault="00000000" w:rsidRPr="00000000" w14:paraId="000001AF">
      <w:pPr>
        <w:spacing w:before="0" w:after="0" w:line="264" w:lineRule="auto"/>
        <w:ind w:left="240" w:firstLine="720"/>
        <w:jc w:val="both"/>
        <w:rPr/>
      </w:pPr>
      <w:r>
        <w:rPr>
          <w:rFonts w:ascii="Georgia" w:hAnsi="Georgia" w:cs="Georgia" w:eastAsia="Georgia"/>
          <w:rtl w:val="0"/>
          <w:i/>
          <w:iCs/>
          <w:sz w:val="22"/>
          <w:szCs w:val="22"/>
        </w:rPr>
        <w:t xml:space="preserve">can / may becomes hedge when marking possibility. Not a hedge when marking capability.</w:t>
      </w:r>
      <w:r>
        <w:rPr>
          <w:rtl w:val="0"/>
          <w:rFonts w:ascii="Georgia" w:hAnsi="Georgia"/>
          <w:sz w:val="22"/>
          <w:szCs w:val="22"/>
          <w:i/>
          <w:iCs/>
        </w:rPr>
      </w:r>
    </w:p>
    <w:p w:rsidR="00000000" w:rsidDel="00000000" w:rsidP="00000000" w:rsidRDefault="00000000" w:rsidRPr="00000000" w14:paraId="000001B0">
      <w:pPr>
        <w:spacing w:before="0" w:after="0" w:line="264" w:lineRule="auto"/>
        <w:ind w:left="240" w:firstLine="720"/>
        <w:jc w:val="both"/>
        <w:rPr/>
      </w:pPr>
      <w:r>
        <w:rPr>
          <w:rFonts w:ascii="Georgia" w:hAnsi="Georgia" w:cs="Georgia" w:eastAsia="Georgia"/>
          <w:rtl w:val="0"/>
          <w:i/>
          <w:iCs/>
          <w:sz w:val="22"/>
          <w:szCs w:val="22"/>
        </w:rPr>
        <w:t xml:space="preserve">generally / typically becomes hedge when limiting the scope of a claim. Not a hedge when describing a procedural norm.</w:t>
      </w:r>
      <w:r>
        <w:rPr>
          <w:rtl w:val="0"/>
          <w:rFonts w:ascii="Georgia" w:hAnsi="Georgia"/>
          <w:sz w:val="22"/>
          <w:szCs w:val="22"/>
          <w:i/>
          <w:iCs/>
        </w:rPr>
      </w:r>
    </w:p>
    <w:p w:rsidR="00000000" w:rsidDel="00000000" w:rsidP="00000000" w:rsidRDefault="00000000" w:rsidRPr="00000000" w14:paraId="000001B1">
      <w:pPr>
        <w:spacing w:before="0" w:after="0" w:line="264" w:lineRule="auto"/>
        <w:ind w:left="240" w:firstLine="0"/>
        <w:jc w:val="both"/>
        <w:rPr/>
      </w:pPr>
      <w:r>
        <w:rPr>
          <w:rFonts w:ascii="Georgia" w:hAnsi="Georgia" w:cs="Georgia" w:eastAsia="Georgia"/>
          <w:rtl w:val="0"/>
          <w:i/>
          <w:iCs/>
          <w:sz w:val="22"/>
          <w:szCs w:val="22"/>
        </w:rPr>
        <w:t xml:space="preserve">appear / seem becomes hedge when expressing uncertainty about a result. Not a hedge when pointing to location in a table or text.</w:t>
      </w:r>
      <w:r>
        <w:rPr>
          <w:rtl w:val="0"/>
          <w:rFonts w:ascii="Georgia" w:hAnsi="Georgia"/>
          <w:sz w:val="22"/>
          <w:szCs w:val="22"/>
          <w:i/>
          <w:iCs/>
        </w:rPr>
      </w:r>
    </w:p>
    <w:p w:rsidR="00000000" w:rsidDel="00000000" w:rsidP="00000000" w:rsidRDefault="00000000" w:rsidRPr="00000000" w14:paraId="000001B2">
      <w:pPr>
        <w:keepNext w:val="1"/>
        <w:spacing w:before="24" w:after="0" w:line="264" w:lineRule="auto"/>
        <w:ind w:firstLine="720"/>
        <w:jc w:val="left"/>
        <w:rPr/>
      </w:pPr>
      <w:r>
        <w:rPr>
          <w:rFonts w:ascii="Georgia" w:cs="Georgia" w:eastAsia="Georgia" w:hAnsi="Georgia"/>
          <w:b w:val="1"/>
          <w:bCs w:val="1"/>
          <w:sz w:val="22"/>
          <w:szCs w:val="22"/>
          <w:rtl w:val="0"/>
        </w:rPr>
        <w:t xml:space="preserve">Exclusion and Working Test</w:t>
      </w:r>
      <w:r>
        <w:rPr>
          <w:rtl w:val="0"/>
          <w:sz w:val="22"/>
          <w:szCs w:val="22"/>
        </w:rPr>
      </w:r>
    </w:p>
    <w:p w:rsidR="00000000" w:rsidDel="00000000" w:rsidP="00000000" w:rsidRDefault="00000000" w:rsidRPr="00000000" w14:paraId="000001B3">
      <w:pPr>
        <w:spacing w:before="0" w:after="0" w:line="264" w:lineRule="auto"/>
        <w:jc w:val="both"/>
        <w:rPr/>
      </w:pPr>
      <w:r>
        <w:rPr>
          <w:rFonts w:ascii="Georgia" w:cs="Georgia" w:eastAsia="Georgia" w:hAnsi="Georgia"/>
          <w:b w:val="0"/>
          <w:bCs w:val="0"/>
          <w:sz w:val="22"/>
          <w:szCs w:val="22"/>
          <w:rtl w:val="0"/>
        </w:rPr>
        <w:t xml:space="preserve">Ability, future procedure, and necessity (must / should in procedural contexts) are never hedges. Stage 1: retain if removing the device makes a knowledge claim more categorical or more direct, or reduces imposition in how that claim is put forward (not directives). Working Test: used at Stage 2 to support EC when commitment to the proposition changes. Worked examples appear under Working Examples in the full codebook below.</w:t>
      </w:r>
      <w:r>
        <w:rPr>
          <w:rtl w:val="0"/>
          <w:sz w:val="22"/>
          <w:szCs w:val="22"/>
        </w:rPr>
      </w:r>
    </w:p>
    <w:p>
      <w:pPr>
        <w:spacing w:line="240" w:lineRule="auto" w:before="0" w:after="0"/>
      </w:pPr>
      <w:r>
        <w:br w:type="page"/>
      </w:r>
    </w:p>
    <w:p w:rsidR="00000000" w:rsidDel="00000000" w:rsidP="00000000" w:rsidRDefault="00000000" w:rsidRPr="00000000" w14:paraId="00000233">
      <w:pPr>
        <w:keepNext w:val="1"/>
        <w:spacing w:before="60" w:after="0" w:line="288"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80" w:after="0" w:line="288"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hAnsi="Georgia" w:cs="Georgia" w:eastAsia="Georgia"/>
          <w:color w:val="000000"/>
        </w:rPr>
        <w:t xml:space="preserve"> that C. longa extracts are </w:t>
      </w:r>
      <w:r>
        <w:rPr>
          <w:rFonts w:ascii="Georgia" w:hAnsi="Georgia" w:cs="Georgia" w:eastAsia="Georgia"/>
          <w:highlight w:val="red"/>
          <w:color w:val="ffffff"/>
        </w:rPr>
        <w:t>potential</w:t>
      </w:r>
      <w:r>
        <w:rPr>
          <w:rFonts w:ascii="Georgia" w:hAnsi="Georgia" w:cs="Georgia" w:eastAsia="Georgia"/>
          <w:color w:val="000000"/>
        </w:rPr>
        <w:t xml:space="preserve"> </w:t>
      </w:r>
      <w:r>
        <w:rPr>
          <w:rFonts w:ascii="Georgia" w:hAnsi="Georgia" w:cs="Georgia" w:eastAsia="Georgia"/>
          <w:color w:val="ed7d31"/>
        </w:rPr>
        <w:t>(EC)</w:t>
      </w:r>
      <w:r>
        <w:rPr>
          <w:rFonts w:ascii="Georgia" w:hAnsi="Georgia" w:cs="Georgia" w:eastAsia="Georgia"/>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288"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60" w:after="0" w:line="288"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80" w:after="0" w:line="288"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spacing w:before="60" w:after="0" w:line="288"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80" w:after="0" w:line="288"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spacing w:before="120" w:after="6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6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both"/>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60" w:line="360" w:lineRule="auto"/>
        <w:jc w:val="left"/>
        <w:rPr/>
      </w:pPr>
      <w:r>
        <w:rPr>
          <w:rFonts w:ascii="Georgia" w:cs="Georgia" w:eastAsia="Georgia" w:hAnsi="Georgia"/>
          <w:b w:val="1"/>
          <w:bCs w:val="1"/>
          <w:i w:val="0"/>
          <w:iCs w:val="0"/>
          <w:sz w:val="24"/>
          <w:szCs w:val="24"/>
          <w:rtl w:val="0"/>
        </w:rPr>
        <w:t xml:space="preserve">STAGE 1, STAGE 2, AND 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Stage 1 (retention). Retain an expression if removing it makes a knowledge claim about findings more categorical or more direct in context, or reduces interpersonal imposition in how that claim is put forward. The gate is inclusive of epistemic, politeness, and discourse-managing mitigation of claims. It does not admit deontic directives (recommendations, obligations), capability statements, pure procedure, pure move sequencing, or topic-naming without force reduction on a claim. Stage 2 (function). Label each retained item EC, P, and/or DO by dominant function. Co-occurrence is allowed. Working Test (EC diagnostic). For distinguishing epistemic effect, ask whether removing the device changes commitment to the truth of the proposition. Use this to support an EC label, not as the only Stage 1 membership test. Phrases that only point to evidence for a claim already asserted elsewhere (e.g., "as indicated by X") still fail Stage 1 when they do not reduce force, directness, or imposition.</w:t>
      </w:r>
      <w:r>
        <w:rPr>
          <w:rFonts w:ascii="Georgia" w:cs="Georgia" w:eastAsia="Georgia" w:hAnsi="Georgia"/>
          <w:b w:val="0"/>
          <w:bCs w:val="0"/>
          <w:i w:val="1"/>
          <w:iCs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0"/>
          <w:bCs w:val="0"/>
          <w:i w:val="0"/>
          <w:iCs w:val="0"/>
          <w:sz w:val="22"/>
          <w:szCs w:val="22"/>
          <w:rtl w:val="0"/>
        </w:rPr>
        <w:t xml:space="preserve">Softening is broader than epistemic qualification. Stage 1 admits softening of force, directness, or imposition, including interpersonal and discourse-managing uses. The Working Test then helps decide whether a retained item is EC (commitment to the proposition changes) as opposed to primarily P or DO. P-only or DO-only items can be retained at Stage 1 when they reduce imposition or frame uptake, even if certainty is unchanged.</w:t>
      </w:r>
      <w:r>
        <w:rPr>
          <w:rtl w:val="0"/>
        </w:rPr>
      </w:r>
    </w:p>
    <w:p w:rsidR="00000000" w:rsidDel="00000000" w:rsidP="00000000" w:rsidRDefault="00000000" w:rsidRPr="00000000" w14:paraId="000001BA">
      <w:pPr>
        <w:spacing w:before="120" w:after="6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Deontic language (obligation/recommendation) is never retained at Stage 1,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“can” is a hedge only for possibility, not capability. “suggest” is a hedge only for a finding, not a recommendation.</w:t>
      </w:r>
      <w:r>
        <w:rPr>
          <w:rFonts w:ascii="Georgia" w:cs="Georgia" w:eastAsia="Georgia" w:hAnsi="Georgia"/>
          <w:b w:val="0"/>
          <w:bCs w:val="0"/>
          <w:i w:val="1"/>
          <w:iCs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1"/>
          <w:iCs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1BC">
      <w:pPr>
        <w:spacing w:before="120" w:after="60" w:line="360" w:lineRule="auto"/>
        <w:ind w:firstLine="720"/>
        <w:jc w:val="both"/>
        <w:rPr/>
      </w:pPr>
      <w:r>
        <w:rPr>
          <w:rFonts w:ascii="Georgia" w:cs="Georgia" w:eastAsia="Georgia" w:hAnsi="Georgia"/>
          <w:b w:val="0"/>
          <w:bCs w:val="0"/>
          <w:i w:val="0"/>
          <w:iCs w:val="0"/>
          <w:sz w:val="22"/>
          <w:szCs w:val="22"/>
          <w:rtl w:val="0"/>
        </w:rPr>
        <w:t xml:space="preserve">Coding order: read the sentence in full, apply Stage 1 (force / directness / imposition), check Decision Rules and false-positive exclusions, assign Stage 2 function (EC, P, and/or DO), use the Working Test when deciding whether EC applies, and log unresolved cases in Coder Notes rather than guessing.</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360" w:lineRule="auto"/>
        <w:ind w:firstLine="720"/>
        <w:jc w:val="both"/>
        <w:rPr/>
      </w:pPr>
      <w:r>
        <w:rPr>
          <w:rFonts w:ascii="Georgia" w:cs="Georgia" w:eastAsia="Georgia" w:hAnsi="Georgia"/>
          <w:b w:val="0"/>
          <w:bCs w:val="0"/>
          <w:i w:val="0"/>
          <w:iCs w:val="0"/>
          <w:sz w:val="22"/>
          <w:szCs w:val="22"/>
          <w:rtl w:val="0"/>
        </w:rPr>
        <w:t xml:space="preserve">Function labels (EC, P, DO) are applied after Stage 1 retention. Stage 1 asks whether removing the expression makes a knowledge claim more categorical or more direct, or softens imposition on that claim (not a directive). The Working Test asks whether commitment to the proposition’s truth changes; it supports EC labeling and does not by itself bar P or DO. The examples below separate retention from function.</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0"/>
          <w:bCs w:val="0"/>
          <w:i w:val="0"/>
          <w:iCs w:val="0"/>
          <w:sz w:val="22"/>
          <w:szCs w:val="22"/>
          <w:rtl w:val="0"/>
        </w:rPr>
        <w:t xml:space="preserve">Epistemic Caution (EC) as hedge. “The treatment may reduce infection rates.” Removing may raises certainty about the finding. Working Test: pass. Code as hedge; function EC.</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0"/>
          <w:bCs w:val="0"/>
          <w:i w:val="0"/>
          <w:iCs w:val="0"/>
          <w:sz w:val="22"/>
          <w:szCs w:val="22"/>
          <w:rtl w:val="0"/>
        </w:rPr>
        <w:t xml:space="preserve">Not a hedge (capability / false positive). “PCR can detect low concentrations.” Removing can does not change commitment to a research claim; can marks capability. Working Test: fail. Code FP-Cap, not a hedge.</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0"/>
          <w:bCs w:val="0"/>
          <w:i w:val="0"/>
          <w:iCs w:val="0"/>
          <w:sz w:val="22"/>
          <w:szCs w:val="22"/>
          <w:rtl w:val="0"/>
        </w:rPr>
        <w:t xml:space="preserve">Politeness / Deference (P), Stage 1 pass possible. “As suggested by previous researchers, the treatment is effective.” Removing As suggested by previous researchers makes the claim more direct and less deferential. Stage 1: pass (reduced imposition). Working Test for EC: fail (certainty unchanged). Stage 2: P, not EC. Count as a hedge/mitigation device with function P.</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0"/>
          <w:bCs w:val="0"/>
          <w:i w:val="0"/>
          <w:iCs w:val="0"/>
          <w:sz w:val="22"/>
          <w:szCs w:val="22"/>
          <w:rtl w:val="0"/>
        </w:rPr>
        <w:t xml:space="preserve">Both P and EC (Stage 1 pass; Stage 2 EC with P co-occurring). “We would suggest that the treatment may be less effective than earlier reports claimed.” Removing would suggest / may makes the criticism more categorical and more imposing. Stage 1: pass. Working Test for EC: pass. Stage 2: EC primary, P co-occurring (deference and softened disagreement).</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0"/>
          <w:bCs w:val="0"/>
          <w:i w:val="0"/>
          <w:iCs w:val="0"/>
          <w:sz w:val="22"/>
          <w:szCs w:val="22"/>
          <w:rtl w:val="0"/>
        </w:rPr>
        <w:t xml:space="preserve">Discourse Organization (DO), Stage 1 pass when framing uptake. “It should be noted that the treatment increased plant height.” Removing It should be noted that removes reader guidance and can make the point land more bluntly. Stage 1: pass if the phrase frames how the claim is taken. Working Test for EC: fail. Stage 2: DO. Pure sequence markers (Thus, Therefore, Hence, In conclusion) that only order moves still fail Stage 1 and are not counted.</w:t>
      </w:r>
      <w:r>
        <w:rPr>
          <w:rtl w:val="0"/>
        </w:rPr>
      </w:r>
    </w:p>
    <w:p w:rsidR="00000000" w:rsidDel="00000000" w:rsidP="00000000" w:rsidRDefault="00000000" w:rsidRPr="00000000" w14:paraId="00000083">
      <w:pPr>
        <w:spacing w:before="0" w:after="0" w:line="360" w:lineRule="auto"/>
        <w:ind w:firstLine="720"/>
        <w:jc w:val="both"/>
        <w:rPr/>
      </w:pPr>
      <w:r>
        <w:rPr>
          <w:rFonts w:ascii="Georgia" w:cs="Georgia" w:eastAsia="Georgia" w:hAnsi="Georgia"/>
          <w:b w:val="0"/>
          <w:bCs w:val="0"/>
          <w:i w:val="0"/>
          <w:iCs w:val="0"/>
          <w:sz w:val="22"/>
          <w:szCs w:val="22"/>
          <w:rtl w:val="0"/>
        </w:rPr>
        <w:t xml:space="preserve">DO-looking frame with a separate hedge. “It should be noted that the results may indicate a positive effect.” It should be noted that fails the Working Test on its own. may indicate passes. Code only may indicate as the hedge (EC). Do not treat the whole clause as one hedge because a later token is epistemic.</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0"/>
          <w:bCs w:val="0"/>
          <w:i w:val="0"/>
          <w:iCs w:val="0"/>
          <w:sz w:val="22"/>
          <w:szCs w:val="22"/>
          <w:rtl w:val="0"/>
        </w:rPr>
        <w:t xml:space="preserve">Summary rule. Stage 1 can retain P-only or DO-only items when they reduce force, directness, or imposition even if certainty is unchanged. Stage 2 labels EC, P, and/or DO. The Working Test supports EC, not exclusive membership. In this corpus, every token retained in the coded set was labeled EC; no P candidates appeared in the abstracts, and sequence-only DO markers were not counted as hedges. Full corpus pass under this Stage 1 rule: recommendation/deontic forms (FP-Rec), capability (FP-Cap), procedural norms (FP-Proc), topic-naming and factive restatement (FP-Gen), pure sequence connectives (Hence/Thus/Therefore/In conclusion as move markers), and framing adverbs such as Overall remained excluded. No politeness/deference forms were present in the 60 abstracts. No additional tokens were promoted into the retained set; n=65 and all-EC function counts are unchanged.</w:t>
      </w:r>
      <w:r>
        <w:rPr>
          <w:rtl w:val="0"/>
        </w:rPr>
      </w:r>
    </w:p>
    <w:p w:rsidR="00000000" w:rsidDel="00000000" w:rsidP="00000000" w:rsidRDefault="00000000" w:rsidRPr="00000000" w14:paraId="000001BE">
      <w:pPr>
        <w:keepNext w:val="1"/>
        <w:spacing w:before="120" w:after="6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0" w:after="20" w:line="36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20" w:after="20" w:line="360" w:lineRule="auto"/>
        <w:ind w:firstLine="720"/>
        <w:jc w:val="both"/>
        <w:rPr/>
      </w:pPr>
      <w:r>
        <w:rPr>
          <w:rFonts w:ascii="Georgia" w:cs="Georgia" w:eastAsia="Georgia" w:hAnsi="Georgia"/>
          <w:i w:val="0"/>
          <w:iCs w:val="0"/>
          <w:sz w:val="22"/>
          <w:szCs w:val="22"/>
          <w:rtl w:val="0"/>
        </w:rPr>
        <w:t xml:space="preserve">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Rule for “potential + noun” constructions: structural position is primary. If the phrase sits in an aim, methods, or pure topic-naming frame (naming the research object, e.g., “assessed the potential of X”), treat as topic-naming (FP-Gen). If it sits in a results or conclusion sentence qualifying a finding-claim, treat as a Lexical hedge (EC). The Working Test is applied as a secondary check: when removing the token clearly changes commitment to a proposition (e.g., "presence of potential mycobacterial infections" becomes "presence of mycobacterial infections"), the token is coded Lexical EC even in an aim or rationale sentence. Pure topic-naming aims leave a research-object name when the token is removed and remain FP-Gen. </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spacing w:before="20" w:after="2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keepNext w:val="1"/>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6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120" w:after="60" w:line="360" w:lineRule="auto"/>
        <w:jc w:val="both"/>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A finding stated as settled fact.</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000000"/>
                <w:sz w:val="20"/>
                <w:szCs w:val="20"/>
                <w:shd w:fill="bfbfbf" w:val="clear"/>
                <w:rtl w:val="0"/>
              </w:rPr>
              <w:t xml:space="preserve">Results showed</w:t>
            </w:r>
            <w:r>
              <w:rPr>
                <w:rFonts w:ascii="Georgia" w:cs="Georgia" w:eastAsia="Georgia" w:hAnsi="Georgia"/>
                <w:b w:val="0"/>
                <w:bCs w:val="0"/>
                <w:i w:val="0"/>
                <w:iCs w:val="0"/>
                <w:color w:val="000000"/>
                <w:sz w:val="20"/>
                <w:szCs w:val="20"/>
                <w:rtl w:val="0"/>
              </w:rPr>
              <w:t xml:space="preserve"> that all shrimp farms were free of the disease.”</w:t>
            </w:r>
            <w:r>
              <w:rPr>
                <w:rtl w:val="0"/>
                <w:sz w:val="20"/>
                <w:szCs w:val="20"/>
                <w:rFonts w:ascii="Georgia" w:hAnsi="Georgia"/>
              </w:rPr>
            </w:r>
          </w:p>
        </w:tc>
      </w:tr>
      <w:tr>
        <w:trPr>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A broader inference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20"/>
                <w:szCs w:val="20"/>
                <w:rtl w:val="0"/>
              </w:rPr>
              <w:t xml:space="preserve">“This led to the </w:t>
            </w:r>
            <w:r>
              <w:rPr>
                <w:rFonts w:ascii="Georgia" w:cs="Georgia" w:eastAsia="Georgia" w:hAnsi="Georgia"/>
                <w:b w:val="1"/>
                <w:bCs w:val="1"/>
                <w:strike w:val="0"/>
                <w:color w:val="000000"/>
                <w:sz w:val="20"/>
                <w:szCs w:val="20"/>
                <w:shd w:fill="bfbfbf" w:val="clear"/>
                <w:rtl w:val="0"/>
              </w:rPr>
              <w:t xml:space="preserve">conclusion that</w:t>
            </w:r>
            <w:r>
              <w:rPr>
                <w:rFonts w:ascii="Georgia" w:cs="Georgia" w:eastAsia="Georgia" w:hAnsi="Georgia"/>
                <w:b w:val="0"/>
                <w:bCs w:val="0"/>
                <w:i w:val="0"/>
                <w:iCs w:val="0"/>
                <w:color w:val="000000"/>
                <w:sz w:val="20"/>
                <w:szCs w:val="20"/>
                <w:rtl w:val="0"/>
              </w:rPr>
              <w:t xml:space="preserve"> all farms were free of it.”</w:t>
            </w:r>
            <w:r>
              <w:rPr>
                <w:rtl w:val="0"/>
                <w:sz w:val="20"/>
                <w:szCs w:val="20"/>
                <w:rFonts w:ascii="Georgia" w:hAnsi="Georgia"/>
              </w:rPr>
            </w:r>
          </w:p>
        </w:tc>
      </w:tr>
      <w:tr>
        <w:trPr>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A cause and effect link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20"/>
                <w:szCs w:val="20"/>
                <w:rtl w:val="0"/>
              </w:rPr>
              <w:t xml:space="preserve">“Extracts </w:t>
            </w:r>
            <w:r>
              <w:rPr>
                <w:rFonts w:ascii="Georgia" w:cs="Georgia" w:eastAsia="Georgia" w:hAnsi="Georgia"/>
                <w:b w:val="1"/>
                <w:bCs w:val="1"/>
                <w:strike w:val="0"/>
                <w:color w:val="000000"/>
                <w:sz w:val="20"/>
                <w:szCs w:val="20"/>
                <w:shd w:fill="bfbfbf" w:val="clear"/>
                <w:rtl w:val="0"/>
              </w:rPr>
              <w:t xml:space="preserve">produce</w:t>
            </w:r>
            <w:r>
              <w:rPr>
                <w:rFonts w:ascii="Georgia" w:cs="Georgia" w:eastAsia="Georgia" w:hAnsi="Georgia"/>
                <w:b w:val="0"/>
                <w:bCs w:val="0"/>
                <w:i w:val="0"/>
                <w:iCs w:val="0"/>
                <w:color w:val="000000"/>
                <w:sz w:val="20"/>
                <w:szCs w:val="20"/>
                <w:rtl w:val="0"/>
              </w:rPr>
              <w:t xml:space="preserve"> comparable staining because they contain similar compounds.”</w:t>
            </w:r>
            <w:r>
              <w:rPr>
                <w:rtl w:val="0"/>
                <w:sz w:val="20"/>
                <w:szCs w:val="20"/>
                <w:rFonts w:ascii="Georgia" w:hAnsi="Georgia"/>
              </w:rPr>
            </w:r>
          </w:p>
        </w:tc>
      </w:tr>
    </w:tbl>
    <w:p>
      <w:pPr>
        <w:spacing w:line="240" w:lineRule="auto" w:before="0" w:after="0"/>
      </w:pPr>
      <w:r>
        <w:br w:type="page"/>
      </w:r>
    </w:p>
    <w:p w:rsidR="00000000" w:rsidDel="00000000" w:rsidP="00000000" w:rsidRDefault="00000000" w:rsidRPr="00000000" w14:paraId="0000027B">
      <w:pPr>
        <w:keepNext w:val="1"/>
        <w:spacing w:before="120" w:after="0" w:line="480" w:lineRule="auto"/>
        <w:jc w:val="left"/>
        <w:rPr/>
        <w:pageBreakBefore/>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This appendix presents the 60 abstracts with all coding marks applied. Layer 1 = color highlight on hedge tokens (blue = Modal Verbs, red = Lexical Hedges, yellow = Adverbial Hedges, green = Clause-Level Hedges). Layer 2 = function label in colored text (EC = orange, P = purple, DO = teal). Discourse connectors (Hence/Thus) are tagged (DO) even when not hedges. Layer 2 functions are only EC, P, and DO. False positives = strikethrough + reason code in grey (e.g. FP-Rec = recommendation, not a function).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hAnsi="Georgia" w:cs="Georgia" w:eastAsia="Georgia"/>
          <w:b w:val="0"/>
          <w:bCs w:val="0"/>
          <w:i w:val="0"/>
          <w:iCs w:val="0"/>
          <w:color w:val="000000"/>
          <w:rtl w:val="0"/>
          <w:sz w:val="22"/>
          <w:szCs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hAnsi="Georgia" w:cs="Georgia" w:eastAsia="Georgia"/>
          <w:b w:val="0"/>
          <w:bCs w:val="0"/>
          <w:i w:val="0"/>
          <w:iCs w:val="0"/>
          <w:color w:val="000000"/>
          <w:rtl w:val="0"/>
          <w:sz w:val="22"/>
          <w:szCs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[Conducted 2018–2019; bound and catalogued 2023 per library records]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The study would (FP-Gen)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(DO),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[R]. This study is essential for getting insights into eco-brick manufacture because the workability of SUPs and UCOs as raw materials is proven. The research findings do not apply to buildings [G]. Therefore (DO), further research will (FP-Gen) aid in underlining the importance of optimizing the ingredient ratios to acquire desirable quality eco-bricks for sustainable construction applications.</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(DO), the researcher provided a policy proposal to focus on issues that needed to be addressed in the community. In terms of practices, proper waste management should (FP-Rec) be established to avoid the high danger of heavy metal contamination. Certain local habits, such as waste dumping and other communal activities, may (EC) contribute to the spread of heavy metals. As a result, some community or local government-adopted measures are proposed (FP-Gen). These precautions are intended to prevent heavy metal contamination, particularly in the river system and the aquatic life in the area.</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00b0f0" w:val="clear"/>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investigate the presence of potential (EC)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[R].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a comprehensive approach for diagnosing and studying mycobacteriosis in cultivated milkfish [G], offering insights that can (FP-Cap) guide effective management strategies to control the spread of this disease in aquaculture system.</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[R].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 [R].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potentially (EC) severe pathogen that has developed resistance to several types of antibiotics. MRSA bacteria can (FP-Cap) survive long on surfaces and objects, including second-hand clothing (SHC). The increasing popularity of SHC or “ukay-ukay” in the Philippines, coupled with potential (EC) public health concerns associated with transmitting pathogenic bacteria, emphasized this research’s need.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potential (EC) public health risks associated with the handling and purchasing of second-hand clothing. This study, therefore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underscores the need for proper precautions to mitigate the spread of potentially (EC) harmful bacteria, including MRSA, on second-hand clothing. It highlights the importance of raising awareness among both vendors and consumers about the potential (EC) health risks associated with these garments.</w:t>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potential (EC)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[R]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recommend (FP-Rec) removing the shrimp’s GIT during preparation to avoid ingestion, use fishing gear made from durable or natural materials, regularly maintain and replace worn equipment, and properly dispose of plastics instead of discarding them into water bodies.</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[REDACTED].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 each lowered to 0.25 ml, 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[R]. There were variations in the mean antibody titer measured among samples.</w:t>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 most commonly garlic. Chi-square analysis revealed significant associations between course of study, pet ownership, and source of information with awareness levels. Multiple regression analysis indicated (FP-Gen) that knowledge significantly predicted self-assessed awareness, while personal experience did not. The findings highlight critical knowledge gaps and underscore the need for targeted educational interventions using accessible media such as social platforms.</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potential (EC) of butterfly pea flower aqueous extract in improving the survival of zebrafish at its larval stage.</w:t>
      </w:r>
      <w:r>
        <w:rPr>
          <w:rFonts w:ascii="Georgia" w:cs="Georgia" w:eastAsia="Georgia" w:hAnsi="Georgia"/>
          <w:b w:val="1"/>
          <w:bCs w:val="1"/>
          <w:strike w:val="0"/>
          <w:color w:val="ffffff"/>
          <w:sz w:val="22"/>
          <w:szCs w:val="22"/>
          <w:highlight w:val="red"/>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This study was conducted to evaluate the growth performance of Adansonii plant under different soil media over a 90-day period. Implemented in December 2024, the experiment followed a Completely Randomized Design (CRD) with five treatments: T1, Topsoil only (control), T2, Topsoil + Rice Hull, T3, Topsoil + Carbonized Rice Hull, T4, Topsoil + Vermicompost, and T5: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indicating (FP-Gen)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(DO), the use of rice hull and vermicompost significantly enhanced the growth and survival of Adansonii. These findings highlight their potential (EC) as effective, low-cost, and sustainable soil amendments for ornamental and horticultural cultivation, offering practical options for growers seeking eco-friendly methods to improve plant performance.</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ffffff"/>
          <w:sz w:val="22"/>
          <w:szCs w:val="22"/>
          <w:highlight w:val="red"/>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both"/>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will (FP-Gen) drive animal production systems to find new sources of high-quality and sustainable protein feed raw materials. Fortunately, insect farming can (EC) be seen as a potential (EC)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00b0f0" w:val="clear"/>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[R]. However, mortality rate and moisture content were not significant after 6 hours and 24 hours [R]. Therefore (DO), it is recommended (FP-Rec) for future researchers to add Diatomaceous earth and neem tree extract and check the humidity. Extend data collection for 72 hours and 96 hours for future study.</w:t>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sz w:val="22"/>
          <w:szCs w:val="22"/>
          <w:rtl w:val="0"/>
          <w:color w:val="00B0F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