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8"/>
          <w:szCs w:val="28"/>
          <w:b/>
          <w:bCs/>
        </w:rPr>
        <w:t xml:space="preserve">THE USE OF HEDGES IN RESEARCH ABSTRACTS</w:t>
      </w:r>
    </w:p>
    <w:p>
      <w:pPr>
        <w:spacing w:before="0" w:after="0" w:line="360" w:lineRule="auto"/>
        <w:jc w:val="center"/>
      </w:pPr>
      <w:r>
        <w:rPr>
          <w:rFonts w:ascii="Georgia" w:hAnsi="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A Thesis</w:t>
      </w:r>
    </w:p>
    <w:p>
      <w:pPr>
        <w:spacing w:before="0" w:after="0" w:line="360" w:lineRule="auto"/>
        <w:jc w:val="center"/>
      </w:pPr>
      <w:r>
        <w:rPr>
          <w:rFonts w:ascii="Georgia" w:hAnsi="Georgia"/>
          <w:sz w:val="24"/>
          <w:szCs w:val="24"/>
        </w:rPr>
        <w:t xml:space="preserve">Presented to the Faculty of</w:t>
      </w:r>
    </w:p>
    <w:p>
      <w:pPr>
        <w:spacing w:before="0" w:after="0" w:line="360" w:lineRule="auto"/>
        <w:jc w:val="center"/>
      </w:pPr>
      <w:r>
        <w:rPr>
          <w:rFonts w:ascii="Georgia" w:hAnsi="Georgia"/>
          <w:sz w:val="24"/>
          <w:szCs w:val="24"/>
        </w:rPr>
        <w:t xml:space="preserve">Department of English</w:t>
      </w:r>
    </w:p>
    <w:p>
      <w:pPr>
        <w:spacing w:before="0" w:after="0" w:line="360" w:lineRule="auto"/>
        <w:jc w:val="center"/>
      </w:pPr>
      <w:r>
        <w:rPr>
          <w:rFonts w:ascii="Georgia" w:hAnsi="Georgia"/>
          <w:sz w:val="24"/>
          <w:szCs w:val="24"/>
        </w:rPr>
        <w:t xml:space="preserve">College of Arts and Sciences</w:t>
      </w:r>
    </w:p>
    <w:p>
      <w:pPr>
        <w:spacing w:before="0" w:after="0" w:line="360" w:lineRule="auto"/>
        <w:jc w:val="center"/>
      </w:pPr>
      <w:r>
        <w:rPr>
          <w:rFonts w:ascii="Georgia" w:hAnsi="Georgia"/>
          <w:sz w:val="24"/>
          <w:szCs w:val="24"/>
        </w:rPr>
        <w:t xml:space="preserve">Pampanga State Agricultural University</w:t>
      </w:r>
    </w:p>
    <w:p>
      <w:pPr>
        <w:spacing w:before="0" w:after="0" w:line="360" w:lineRule="auto"/>
        <w:jc w:val="center"/>
      </w:pPr>
      <w:r>
        <w:rPr>
          <w:rFonts w:ascii="Georgia" w:hAnsi="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In Partial Fulfillment</w:t>
      </w:r>
    </w:p>
    <w:p>
      <w:pPr>
        <w:spacing w:before="0" w:after="0" w:line="360" w:lineRule="auto"/>
        <w:jc w:val="center"/>
      </w:pPr>
      <w:r>
        <w:rPr>
          <w:rFonts w:ascii="Georgia" w:hAnsi="Georgia"/>
          <w:sz w:val="24"/>
          <w:szCs w:val="24"/>
        </w:rPr>
        <w:t xml:space="preserve">of the Requirements for the Degree</w:t>
      </w:r>
    </w:p>
    <w:p>
      <w:pPr>
        <w:spacing w:before="0" w:after="0" w:line="360" w:lineRule="auto"/>
        <w:jc w:val="center"/>
      </w:pPr>
      <w:r>
        <w:rPr>
          <w:rFonts w:ascii="Georgia" w:hAnsi="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sz w:val="24"/>
          <w:szCs w:val="24"/>
        </w:rPr>
        <w:t xml:space="preserve">October 2026</w:t>
      </w:r>
    </w:p>
    <w:p w:rsidR="00000000" w:rsidDel="00000000" w:rsidP="00000000" w:rsidRDefault="00000000" w:rsidRPr="00000000" w14:paraId="00000027">
      <w:pPr>
        <w:keepLines w:val="1"/>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Expert norms are well documented.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absolute—agricultural work can be lab-based, biology can be field-based—but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 xml:space="preserve">Developing researchers tend to underuse hedges and rely on a narrow set of devices.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writers—Philosophy and Psychology hedged more than Physics and History—yet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 xml:space="preserve">These findings are not necessarily contradictory. Afshar et al. and Mohammed compare different disciplinary pairings and use different hedge taxonomies—Afshar the full Salager-Meyer (1994) scheme, Mohammed a lexical-hedge focus—so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 xml:space="preserve">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claims—different genre, same point that hedging is context-sensitive.</w:t>
      </w:r>
      <w:r>
        <w:rPr>
          <w:rtl w:val="0"/>
        </w:rPr>
      </w:r>
    </w:p>
    <w:p w:rsidR="00000000" w:rsidDel="00000000" w:rsidP="00000000" w:rsidRDefault="00000000" w:rsidRPr="00000000" w14:paraId="0000003F">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Afshar et al., 2014). Developing researchers across contexts show limited hedge variety and tend to default to modal verbs (Khunasathitchai et al., 2025; Wang, 2022). L2 writers face additional constraints from linguistic factors and limited explicit instruction (Demir, 2018; Petchkij, 2019). Philippine and ASEAN studies confirm reliance on modals and, in some contexts, a preference for boosters (Ningrum et al., 2024; Escalona, 2025;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 xml:space="preserve">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cs="Georgia" w:eastAsia="Georgia" w:hAnsi="Georgia"/>
          <w:b w:val="0"/>
          <w:bCs w:val="0"/>
          <w:i w:val="0"/>
          <w:iCs w:val="0"/>
          <w:sz w:val="22"/>
          <w:szCs w:val="22"/>
          <w:rtl w:val="0"/>
        </w:rPr>
        <w:t>In practice, the coding scheme was adapted from Hyland (1998) and operationalized through the decision rules presented in Appendix A. The coding was applied in three sequential stages. First, each abstract was read holistically before any marking occurred to ensure that coding decisions were grounded in discourse context rather than keyword recognition. Second, each potential hedge was classified by type based on the decision rules in Appendix A. These types included modal verb, lexical hedge, adverbial hedge, and clause-level hedge. Third, each confirmed hedge was assigned a functional category: epistemic caution, politeness, or discourse organization. This three-stage sequence ensured that type and function were coded independently, allowing type-function pairings to be inspected. In this corpus all coded hedges were Epistemic Caution under the Working Test, so the cross-tab does not differentiate functions. RQ3 is therefore answered as a finding about the adapted scheme (what the screen retains and how it is classified), not as an open survey of rhetorical functions independent of the identification procedure. RQ4 is answered from frequency and functional patterns as a whole.</w:t>
      </w:r>
      <w:r>
        <w:rPr>
          <w:rtl w:val="0"/>
        </w:rPr>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independent variable is discipline, which includes Agriculture, Veterinary Medicine, and Biology.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keepLines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b w:val="1"/>
          <w:bCs w:val="1"/>
          <w:rtl w:val="0"/>
        </w:rPr>
        <w:t>For writing instructors and thesis advisers at PSAU, the study provides an empirical baseline of how uncertainty is managed in the ratified abstracts of three applied life sciences programs. That baseline can support more targeted feedback than generic advice to “be cautious.”</w:t>
      </w:r>
      <w:r>
        <w:rPr>
          <w:b w:val="0"/>
          <w:bCs w:val="0"/>
          <w:rtl w:val="0"/>
        </w:rPr>
        <w:t/>
      </w:r>
      <w:r>
        <w:rPr>
          <w:rtl w:val="0"/>
        </w:rPr>
      </w:r>
    </w:p>
    <w:p w:rsidR="00000000" w:rsidDel="00000000" w:rsidP="00000000" w:rsidRDefault="00000000" w:rsidRPr="00000000" w14:paraId="00000058">
      <w:pPr>
        <w:spacing w:before="0" w:after="0" w:line="480" w:lineRule="auto"/>
        <w:ind w:firstLine="720"/>
        <w:jc w:val="both"/>
        <w:rPr/>
      </w:pPr>
      <w:r>
        <w:rPr>
          <w:b w:val="1"/>
          <w:bCs w:val="1"/>
          <w:rtl w:val="0"/>
        </w:rPr>
        <w:t xml:space="preserve">For academic writing researchers,</w:t>
      </w:r>
      <w:r>
        <w:rPr>
          <w:b w:val="0"/>
          <w:bCs w:val="0"/>
          <w:rtl w:val="0"/>
        </w:rPr>
        <w:t xml:space="preserve"> it adds Philippine applied-science abstract data to a body of work that has drawn mainly from other regional and disciplinary settings.</w:t>
      </w:r>
      <w:r>
        <w:rPr>
          <w:rtl w:val="0"/>
        </w:rPr>
      </w:r>
    </w:p>
    <w:p w:rsidR="00000000" w:rsidDel="00000000" w:rsidP="00000000" w:rsidRDefault="00000000" w:rsidRPr="00000000" w14:paraId="00000059">
      <w:pPr>
        <w:spacing w:before="0" w:after="0" w:line="480" w:lineRule="auto"/>
        <w:ind w:firstLine="720"/>
        <w:jc w:val="both"/>
        <w:rPr/>
      </w:pPr>
      <w:r>
        <w:rPr>
          <w:b w:val="1"/>
          <w:bCs w:val="1"/>
          <w:rtl w:val="0"/>
        </w:rPr>
        <w:t xml:space="preserve">For the BAELS program,</w:t>
      </w:r>
      <w:r>
        <w:rPr>
          <w:b w:val="0"/>
          <w:bCs w:val="0"/>
          <w:rtl w:val="0"/>
        </w:rPr>
        <w:t xml:space="preserve"> it shows that corpus-assisted discourse analysis is a viable undergraduate thesis methodology and yields findings usable in local writing pedagogy.</w:t>
      </w:r>
      <w:r>
        <w:rPr>
          <w:rtl w:val="0"/>
        </w:rPr>
      </w:r>
    </w:p>
    <w:p w:rsidR="00000000" w:rsidDel="00000000" w:rsidP="00000000" w:rsidRDefault="00000000" w:rsidRPr="00000000" w14:paraId="0000005A">
      <w:pPr>
        <w:spacing w:before="0" w:after="0" w:line="480" w:lineRule="auto"/>
        <w:ind w:firstLine="720"/>
        <w:jc w:val="both"/>
        <w:rPr/>
      </w:pPr>
      <w:r>
        <w:rPr>
          <w:b w:val="1"/>
          <w:bCs w:val="1"/>
          <w:rtl w:val="0"/>
        </w:rPr>
        <w:t xml:space="preserve">For future researchers,</w:t>
      </w:r>
      <w:r>
        <w:rPr>
          <w:b w:val="0"/>
          <w:bCs w:val="0"/>
          <w:rtl w:val="0"/>
        </w:rPr>
        <w:t xml:space="preserve"> the sampling design, coding decision rules, and false-positive log offer a replicable protocol for similar corpus studies.</w:t>
      </w:r>
      <w:r>
        <w:rPr>
          <w:rtl w:val="0"/>
        </w:rPr>
      </w:r>
    </w:p>
    <w:p w:rsidR="00000000" w:rsidDel="00000000" w:rsidP="00000000" w:rsidRDefault="00000000" w:rsidRPr="00000000" w14:paraId="0000005C">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consists of 60 abstracts selected through disproportionate stratified systematic sampling, with discipline as the stratification variable and fixed analytical targets per stratum to ensure equal representation regardless of population size. The distribution includes Biology (n=20), Veterinary Medicine (n=20), and Agriculture (n=20). For the Agriculture discipline, the sample is equally split between Crop Science (n=10) and Animal Science (n=10) to ensure balanced representation of the sub-disciplines. These sub-programs are analyzed as a single “Agriculture” discipline for cross-disciplinary comparison. Table 1 reports sub-program sample sizes (Crop Science n=10, Animal Science n=10), not hedge counts. No separate inferential comparison between sub-programs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This sample size is consistent with comparable corpus-assisted discourse studies at the undergraduate level. Khunasathitchai et al. (2025) analyzed 60 abstracts. Wang (2022) examined a much larger multi-field student corpus (829 papers across 16 fields); the present study does not claim comparable scale or design. For a manually coded functional analysis within a single institution, 60 texts provide sufficient data for identifying patterns without exceeding the analytical capacity of a BA thesis. The study treats its findings as indicative patterns within the PSAU context, supplemented by exploratory inferential analyses (chi-square, Kruskal-Wallis) whose results are reported transparently but should not be treated as confirmatory given the small sample and the likelihood of zero inflation. Frequency results are reported in the Results chapter.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tl w:val="0"/>
        </w:rPr>
        <w:t xml:space="preserve">Reliability was assessed through intra-rater agreement only. A second coder was not available for inter-rater reliability testing, which limits the extent to which the coding scheme can be verified against an independent application of the same decision rules. This limitation particularly affects the functional findings reported in Part III. The uniform assignment of all 65 hedges to the Epistemic Caution function may reflect a single coder's interpretive frame rather than a property of the corpus itself. Future research with inter-rater coding on at least a subset of the corpus is needed to test the robustness of the functional findings before they can be treated as established.</w:t>
      </w:r>
    </w:p>
    <w:p w:rsidR="00000000" w:rsidDel="00000000" w:rsidP="00000000" w:rsidRDefault="00000000" w:rsidRPr="00000000" w14:paraId="00000062">
      <w:pPr>
        <w:spacing w:before="0" w:after="0" w:line="480" w:lineRule="auto"/>
        <w:ind w:firstLine="720"/>
        <w:jc w:val="both"/>
        <w:rPr/>
      </w:pPr>
      <w:r>
        <w:rPr>
          <w:rtl w:val="0"/>
        </w:rPr>
        <w:t xml:space="preserve">The study also lacks a comparable expert-abstract corpus against which to compare the functional findings. The absence of interactional hedges (Politeness, Discourse Organization) in this corpus may reflect genre compression in abstracts rather than writer deficit. Expert abstracts in the same three disciplines, coded with the same scheme, would allow the study to distinguish genre effects from writer-competence effects. Future research with such a comparison corpus is needed before the functional narrowness reported here can be attributed to writer characteristics rather than to genre constraints.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Abstract, </w:t>
      </w:r>
      <w:r>
        <w:rPr>
          <w:rFonts w:ascii="Georgia" w:cs="Georgia" w:eastAsia="Georgia" w:hAnsi="Georgia"/>
          <w:b w:val="0"/>
          <w:bCs w:val="0"/>
          <w:i w:val="0"/>
          <w:iCs w:val="0"/>
          <w:sz w:val="22"/>
          <w:szCs w:val="22"/>
          <w:rtl w:val="0"/>
        </w:rPr>
        <w:t xml:space="preserve">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cs="Georgia" w:eastAsia="Georgia" w:hAnsi="Georgia"/>
          <w:b w:val="1"/>
          <w:bCs w:val="1"/>
          <w:i w:val="0"/>
          <w:iCs w:val="0"/>
          <w:sz w:val="22"/>
          <w:szCs w:val="22"/>
          <w:rtl w:val="0"/>
        </w:rPr>
        <w:t xml:space="preserve">Adverbial Hedges, </w:t>
      </w:r>
      <w:r>
        <w:rPr>
          <w:rFonts w:ascii="Georgia" w:cs="Georgia" w:eastAsia="Georgia" w:hAnsi="Georgia"/>
          <w:b w:val="0"/>
          <w:bCs w:val="0"/>
          <w:i w:val="0"/>
          <w:iCs w:val="0"/>
          <w:sz w:val="22"/>
          <w:szCs w:val="22"/>
          <w:rtl w:val="0"/>
        </w:rPr>
        <w:t xml:space="preserve">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cs="Georgia" w:eastAsia="Georgia" w:hAnsi="Georgia"/>
          <w:b w:val="1"/>
          <w:bCs w:val="1"/>
          <w:i w:val="0"/>
          <w:iCs w:val="0"/>
          <w:sz w:val="22"/>
          <w:szCs w:val="22"/>
          <w:rtl w:val="0"/>
        </w:rPr>
        <w:t xml:space="preserve">Applied Life Sciences, </w:t>
      </w:r>
      <w:r>
        <w:rPr>
          <w:rFonts w:ascii="Georgia" w:cs="Georgia" w:eastAsia="Georgia" w:hAnsi="Georgia"/>
          <w:b w:val="0"/>
          <w:bCs w:val="0"/>
          <w:i w:val="0"/>
          <w:iCs w:val="0"/>
          <w:sz w:val="22"/>
          <w:szCs w:val="22"/>
          <w:rtl w:val="0"/>
        </w:rPr>
        <w:t xml:space="preserve">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cs="Georgia" w:eastAsia="Georgia" w:hAnsi="Georgia"/>
          <w:b w:val="1"/>
          <w:bCs w:val="1"/>
          <w:i w:val="0"/>
          <w:iCs w:val="0"/>
          <w:sz w:val="22"/>
          <w:szCs w:val="22"/>
          <w:rtl w:val="0"/>
        </w:rPr>
        <w:t xml:space="preserve">Claim Responsibility, </w:t>
      </w:r>
      <w:r>
        <w:rPr>
          <w:rFonts w:ascii="Georgia" w:cs="Georgia" w:eastAsia="Georgia" w:hAnsi="Georgia"/>
          <w:b w:val="0"/>
          <w:bCs w:val="0"/>
          <w:i w:val="0"/>
          <w:iCs w:val="0"/>
          <w:sz w:val="22"/>
          <w:szCs w:val="22"/>
          <w:rtl w:val="0"/>
        </w:rPr>
        <w:t xml:space="preserve">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B">
      <w:pPr>
        <w:spacing w:before="0" w:after="0" w:line="480" w:lineRule="auto"/>
        <w:ind w:firstLine="720"/>
        <w:jc w:val="both"/>
        <w:rPr/>
      </w:pPr>
      <w:r>
        <w:rPr>
          <w:rFonts w:ascii="Georgia" w:cs="Georgia" w:eastAsia="Georgia" w:hAnsi="Georgia"/>
          <w:b w:val="1"/>
          <w:bCs w:val="1"/>
          <w:i w:val="0"/>
          <w:iCs w:val="0"/>
          <w:sz w:val="22"/>
          <w:szCs w:val="22"/>
          <w:rtl w:val="0"/>
        </w:rPr>
        <w:t xml:space="preserve">Clause-Level Hedges, </w:t>
      </w:r>
      <w:r>
        <w:rPr>
          <w:rFonts w:ascii="Georgia" w:cs="Georgia" w:eastAsia="Georgia" w:hAnsi="Georgia"/>
          <w:b w:val="0"/>
          <w:bCs w:val="0"/>
          <w:i w:val="0"/>
          <w:iCs w:val="0"/>
          <w:sz w:val="22"/>
          <w:szCs w:val="22"/>
          <w:rtl w:val="0"/>
        </w:rPr>
        <w:t xml:space="preserve">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C">
      <w:pPr>
        <w:spacing w:before="0" w:after="0" w:line="480" w:lineRule="auto"/>
        <w:ind w:firstLine="720"/>
        <w:jc w:val="both"/>
        <w:rPr/>
      </w:pPr>
      <w:r>
        <w:rPr>
          <w:rFonts w:ascii="Georgia" w:cs="Georgia" w:eastAsia="Georgia" w:hAnsi="Georgia"/>
          <w:b w:val="1"/>
          <w:bCs w:val="1"/>
          <w:i w:val="0"/>
          <w:iCs w:val="0"/>
          <w:sz w:val="22"/>
          <w:szCs w:val="22"/>
          <w:rtl w:val="0"/>
        </w:rPr>
        <w:t xml:space="preserve">Corpus-Assisted Discourse Analysis, </w:t>
      </w:r>
      <w:r>
        <w:rPr>
          <w:rFonts w:ascii="Georgia" w:cs="Georgia" w:eastAsia="Georgia" w:hAnsi="Georgia"/>
          <w:b w:val="0"/>
          <w:bCs w:val="0"/>
          <w:i w:val="0"/>
          <w:iCs w:val="0"/>
          <w:sz w:val="22"/>
          <w:szCs w:val="22"/>
          <w:rtl w:val="0"/>
        </w:rPr>
        <w:t xml:space="preserve">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cs="Georgia" w:eastAsia="Georgia" w:hAnsi="Georgia"/>
          <w:b w:val="1"/>
          <w:bCs w:val="1"/>
          <w:i w:val="0"/>
          <w:iCs w:val="0"/>
          <w:sz w:val="22"/>
          <w:szCs w:val="22"/>
          <w:rtl w:val="0"/>
        </w:rPr>
        <w:t xml:space="preserve">Disciplinary Variation, </w:t>
      </w:r>
      <w:r>
        <w:rPr>
          <w:rFonts w:ascii="Georgia" w:cs="Georgia" w:eastAsia="Georgia" w:hAnsi="Georgia"/>
          <w:b w:val="0"/>
          <w:bCs w:val="0"/>
          <w:i w:val="0"/>
          <w:iCs w:val="0"/>
          <w:sz w:val="22"/>
          <w:szCs w:val="22"/>
          <w:rtl w:val="0"/>
        </w:rPr>
        <w:t xml:space="preserve">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cs="Georgia" w:eastAsia="Georgia" w:hAnsi="Georgia"/>
          <w:b w:val="1"/>
          <w:bCs w:val="1"/>
          <w:i w:val="0"/>
          <w:iCs w:val="0"/>
          <w:sz w:val="22"/>
          <w:szCs w:val="22"/>
          <w:rtl w:val="0"/>
        </w:rPr>
        <w:t xml:space="preserve">Epistemic Stance, </w:t>
      </w:r>
      <w:r>
        <w:rPr>
          <w:rFonts w:ascii="Georgia" w:cs="Georgia" w:eastAsia="Georgia" w:hAnsi="Georgia"/>
          <w:b w:val="0"/>
          <w:bCs w:val="0"/>
          <w:i w:val="0"/>
          <w:iCs w:val="0"/>
          <w:sz w:val="22"/>
          <w:szCs w:val="22"/>
          <w:rtl w:val="0"/>
        </w:rPr>
        <w:t xml:space="preserve">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F">
      <w:pPr>
        <w:spacing w:before="0" w:after="0" w:line="480" w:lineRule="auto"/>
        <w:ind w:firstLine="720"/>
        <w:jc w:val="both"/>
        <w:rPr/>
      </w:pPr>
      <w:r>
        <w:rPr>
          <w:rFonts w:ascii="Georgia" w:cs="Georgia" w:eastAsia="Georgia" w:hAnsi="Georgia"/>
          <w:b w:val="1"/>
          <w:bCs w:val="1"/>
          <w:i w:val="0"/>
          <w:iCs w:val="0"/>
          <w:sz w:val="22"/>
          <w:szCs w:val="22"/>
          <w:rtl w:val="0"/>
        </w:rPr>
        <w:t xml:space="preserve">Hedge Function, </w:t>
      </w:r>
      <w:r>
        <w:rPr>
          <w:rFonts w:ascii="Georgia" w:cs="Georgia" w:eastAsia="Georgia" w:hAnsi="Georgia"/>
          <w:b w:val="0"/>
          <w:bCs w:val="0"/>
          <w:i w:val="0"/>
          <w:iCs w:val="0"/>
          <w:sz w:val="22"/>
          <w:szCs w:val="22"/>
          <w:rtl w:val="0"/>
        </w:rPr>
        <w:t xml:space="preserve">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cs="Georgia" w:eastAsia="Georgia" w:hAnsi="Georgia"/>
          <w:b w:val="1"/>
          <w:bCs w:val="1"/>
          <w:i w:val="0"/>
          <w:iCs w:val="0"/>
          <w:sz w:val="22"/>
          <w:szCs w:val="22"/>
          <w:rtl w:val="0"/>
        </w:rPr>
        <w:t xml:space="preserve">Hedging, </w:t>
      </w:r>
      <w:r>
        <w:rPr>
          <w:rFonts w:ascii="Georgia" w:cs="Georgia" w:eastAsia="Georgia" w:hAnsi="Georgia"/>
          <w:b w:val="0"/>
          <w:bCs w:val="0"/>
          <w:i w:val="0"/>
          <w:iCs w:val="0"/>
          <w:sz w:val="22"/>
          <w:szCs w:val="22"/>
          <w:rtl w:val="0"/>
        </w:rPr>
        <w:t xml:space="preserve">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71">
      <w:pPr>
        <w:spacing w:before="0" w:after="0" w:line="480" w:lineRule="auto"/>
        <w:ind w:firstLine="720"/>
        <w:jc w:val="both"/>
        <w:rPr/>
      </w:pPr>
      <w:r>
        <w:rPr>
          <w:rFonts w:ascii="Georgia" w:cs="Georgia" w:eastAsia="Georgia" w:hAnsi="Georgia"/>
          <w:b w:val="1"/>
          <w:bCs w:val="1"/>
          <w:i w:val="0"/>
          <w:iCs w:val="0"/>
          <w:sz w:val="22"/>
          <w:szCs w:val="22"/>
          <w:rtl w:val="0"/>
        </w:rPr>
        <w:t xml:space="preserve">Lexical Hedges, </w:t>
      </w:r>
      <w:r>
        <w:rPr>
          <w:rFonts w:ascii="Georgia" w:cs="Georgia" w:eastAsia="Georgia" w:hAnsi="Georgia"/>
          <w:b w:val="0"/>
          <w:bCs w:val="0"/>
          <w:i w:val="0"/>
          <w:iCs w:val="0"/>
          <w:sz w:val="22"/>
          <w:szCs w:val="22"/>
          <w:rtl w:val="0"/>
        </w:rPr>
        <w:t xml:space="preserve">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rsidR="00000000" w:rsidDel="00000000" w:rsidP="00000000" w:rsidRDefault="00000000" w:rsidRPr="00000000" w14:paraId="00000072">
      <w:pPr>
        <w:spacing w:before="0" w:after="0" w:line="480" w:lineRule="auto"/>
        <w:ind w:firstLine="720"/>
        <w:jc w:val="both"/>
        <w:rPr/>
      </w:pPr>
      <w:r>
        <w:rPr>
          <w:rFonts w:ascii="Georgia" w:cs="Georgia" w:eastAsia="Georgia" w:hAnsi="Georgia"/>
          <w:b w:val="1"/>
          <w:bCs w:val="1"/>
          <w:i w:val="0"/>
          <w:iCs w:val="0"/>
          <w:sz w:val="22"/>
          <w:szCs w:val="22"/>
          <w:rtl w:val="0"/>
        </w:rPr>
        <w:t xml:space="preserve">Modal Verbs, </w:t>
      </w:r>
      <w:r>
        <w:rPr>
          <w:rFonts w:ascii="Georgia" w:cs="Georgia" w:eastAsia="Georgia" w:hAnsi="Georgia"/>
          <w:b w:val="0"/>
          <w:bCs w:val="0"/>
          <w:i w:val="0"/>
          <w:iCs w:val="0"/>
          <w:sz w:val="22"/>
          <w:szCs w:val="22"/>
          <w:rtl w:val="0"/>
        </w:rPr>
        <w:t xml:space="preserve">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cs="Georgia" w:eastAsia="Georgia" w:hAnsi="Georgia"/>
          <w:b w:val="1"/>
          <w:bCs w:val="1"/>
          <w:i w:val="0"/>
          <w:iCs w:val="0"/>
          <w:sz w:val="22"/>
          <w:szCs w:val="22"/>
          <w:rtl w:val="0"/>
        </w:rPr>
        <w:t xml:space="preserve">Normalized Frequency, </w:t>
      </w:r>
      <w:r>
        <w:rPr>
          <w:rFonts w:ascii="Georgia" w:cs="Georgia" w:eastAsia="Georgia" w:hAnsi="Georgia"/>
          <w:b w:val="0"/>
          <w:bCs w:val="0"/>
          <w:i w:val="0"/>
          <w:iCs w:val="0"/>
          <w:sz w:val="22"/>
          <w:szCs w:val="22"/>
          <w:rtl w:val="0"/>
        </w:rPr>
        <w:t xml:space="preserve">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keepLines w:val="1"/>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Hedging is not a standard component of academic writing curricula in most Philippine universities, which tend to emphasize structure and grammatical correctness. Developing researchers writing thesis abstracts were therefore producing a genre that demanded hedging with limited explicit preparation for its epistemic requirements. These conditions made PSAU a representative site for examining developing researchers' disciplinary hedging in the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prescribed standard formatting but did not impose a rigid rhetorical template for abstracts. This allowed for disciplinary and individual variation in linguistic choices, ensuring that observed hedging patterns reflected negotiated textual choices rather than rigid institutional constraints.</w:t>
      </w:r>
      <w:r>
        <w:rPr>
          <w:rtl w:val="0"/>
        </w:rPr>
      </w:r>
    </w:p>
    <w:p w:rsidR="00000000" w:rsidDel="00000000" w:rsidP="00000000" w:rsidRDefault="00000000" w:rsidRPr="00000000" w14:paraId="00000082">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cs="Georgia" w:eastAsia="Georgia" w:hAnsi="Georgia"/>
          <w:b w:val="1"/>
          <w:bCs w:val="1"/>
          <w:i w:val="0"/>
          <w:iCs w:val="0"/>
          <w:sz w:val="22"/>
          <w:szCs w:val="22"/>
          <w:rtl w:val="0"/>
        </w:rPr>
        <w:t xml:space="preserve">a. Requesting Permission. </w:t>
      </w:r>
      <w:r>
        <w:rPr>
          <w:rFonts w:ascii="Georgia" w:cs="Georgia" w:eastAsia="Georgia" w:hAnsi="Georgia"/>
          <w:b w:val="0"/>
          <w:bCs w:val="0"/>
          <w:i w:val="0"/>
          <w:iCs w:val="0"/>
          <w:sz w:val="22"/>
          <w:szCs w:val="22"/>
          <w:rtl w:val="0"/>
        </w:rPr>
        <w:t xml:space="preserve">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cs="Georgia" w:eastAsia="Georgia" w:hAnsi="Georgia"/>
          <w:b w:val="1"/>
          <w:bCs w:val="1"/>
          <w:i w:val="0"/>
          <w:iCs w:val="0"/>
          <w:sz w:val="22"/>
          <w:szCs w:val="22"/>
          <w:rtl w:val="0"/>
        </w:rPr>
        <w:t xml:space="preserve">b. Corpus Construction. </w:t>
      </w:r>
      <w:r>
        <w:rPr>
          <w:rFonts w:ascii="Georgia" w:cs="Georgia" w:eastAsia="Georgia" w:hAnsi="Georgia"/>
          <w:b w:val="0"/>
          <w:bCs w:val="0"/>
          <w:i w:val="0"/>
          <w:iCs w:val="0"/>
          <w:sz w:val="22"/>
          <w:szCs w:val="22"/>
          <w:rtl w:val="0"/>
        </w:rPr>
        <w:t xml:space="preserve">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 Animal Science, and n=10 for Agriculture —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cs="Georgia" w:eastAsia="Georgia" w:hAnsi="Georgia"/>
          <w:b w:val="1"/>
          <w:bCs w:val="1"/>
          <w:i w:val="0"/>
          <w:iCs w:val="0"/>
          <w:sz w:val="22"/>
          <w:szCs w:val="22"/>
          <w:rtl w:val="0"/>
        </w:rPr>
        <w:t xml:space="preserve">c. Text Extraction. </w:t>
      </w:r>
      <w:r>
        <w:rPr>
          <w:rFonts w:ascii="Georgia" w:cs="Georgia" w:eastAsia="Georgia" w:hAnsi="Georgia"/>
          <w:b w:val="0"/>
          <w:bCs w:val="0"/>
          <w:i w:val="0"/>
          <w:iCs w:val="0"/>
          <w:sz w:val="22"/>
          <w:szCs w:val="22"/>
          <w:rtl w:val="0"/>
        </w:rPr>
        <w:t xml:space="preserve">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cs="Georgia" w:eastAsia="Georgia" w:hAnsi="Georgia"/>
          <w:b w:val="1"/>
          <w:bCs w:val="1"/>
          <w:i w:val="0"/>
          <w:iCs w:val="0"/>
          <w:sz w:val="22"/>
          <w:szCs w:val="22"/>
          <w:rtl w:val="0"/>
        </w:rPr>
        <w:t xml:space="preserve">d. Pilot Testing and Reliability Checking. </w:t>
      </w:r>
      <w:r>
        <w:rPr>
          <w:rFonts w:ascii="Georgia" w:cs="Georgia" w:eastAsia="Georgia" w:hAnsi="Georgia"/>
          <w:b w:val="0"/>
          <w:bCs w:val="0"/>
          <w:i w:val="0"/>
          <w:iCs w:val="0"/>
          <w:sz w:val="22"/>
          <w:szCs w:val="22"/>
          <w:rtl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cs="Georgia" w:eastAsia="Georgia" w:hAnsi="Georgia"/>
          <w:b w:val="1"/>
          <w:bCs w:val="1"/>
          <w:i w:val="0"/>
          <w:iCs w:val="0"/>
          <w:sz w:val="22"/>
          <w:szCs w:val="22"/>
          <w:rtl w:val="0"/>
        </w:rPr>
        <w:t xml:space="preserve">e. Data Analysis. </w:t>
      </w:r>
      <w:r>
        <w:rPr>
          <w:rFonts w:ascii="Georgia" w:cs="Georgia" w:eastAsia="Georgia" w:hAnsi="Georgia"/>
          <w:b w:val="0"/>
          <w:bCs w:val="0"/>
          <w:i w:val="0"/>
          <w:iCs w:val="0"/>
          <w:sz w:val="22"/>
          <w:szCs w:val="22"/>
          <w:rtl w:val="0"/>
        </w:rPr>
        <w:t>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exploratory inferential analyses (chi-square, Kruskal-Wallis) whose results are reported transparently but should not be treated as confirmatory given the small, zero-inflated sample.</w:t>
      </w:r>
      <w:r>
        <w:rPr>
          <w:rtl w:val="0"/>
        </w:rPr>
      </w:r>
    </w:p>
    <w:p w:rsidR="00000000" w:rsidDel="00000000" w:rsidP="00000000" w:rsidRDefault="00000000" w:rsidRPr="00000000" w14:paraId="0000008C">
      <w:pPr>
        <w:spacing w:before="0" w:after="0" w:line="480" w:lineRule="auto"/>
        <w:ind w:firstLine="720"/>
        <w:jc w:val="both"/>
        <w:rPr/>
      </w:pPr>
      <w:r>
        <w:rPr>
          <w:rFonts w:ascii="Georgia" w:cs="Georgia" w:eastAsia="Georgia" w:hAnsi="Georgia"/>
          <w:b w:val="1"/>
          <w:bCs w:val="1"/>
          <w:i w:val="0"/>
          <w:iCs w:val="0"/>
          <w:sz w:val="22"/>
          <w:szCs w:val="22"/>
          <w:rtl w:val="0"/>
        </w:rPr>
        <w:t xml:space="preserve">f. Timeline. </w:t>
      </w:r>
      <w:r>
        <w:rPr>
          <w:rFonts w:ascii="Georgia" w:cs="Georgia" w:eastAsia="Georgia" w:hAnsi="Georgia"/>
          <w:b w:val="0"/>
          <w:bCs w:val="0"/>
          <w:i w:val="0"/>
          <w:iCs w:val="0"/>
          <w:sz w:val="22"/>
          <w:szCs w:val="22"/>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 xml:space="preserve">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results and conclusion frames that qualify a finding-claim are coded Lexical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(8 hedges) uses a repeated frame twice with light variation. The content of that frame is consequential: the writer reports that statistical significance was not observed, then hedges that the treatment could still offer potential benefits. That is hedging used to soften or rescue a null result—the overclaiming risk this study's introduction identifies—not merely density inflation. Acs2 is retained in all counts; sensitivity checks that exclude it are reported separately where the Agriculture–Biology ranking is discussed.</w:t>
      </w:r>
      <w:r>
        <w:rPr>
          <w:rtl w:val="0"/>
        </w:rPr>
      </w:r>
    </w:p>
    <w:p w:rsidR="00000000" w:rsidDel="00000000" w:rsidP="00000000" w:rsidRDefault="00000000" w:rsidRPr="00000000" w14:paraId="00000091">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uses a text corpus rather than human participants. The corpus consists of 60 undergraduate thesis abstracts from Agriculture, Veterinary Medicine, and Biology programs at PSAU. This study employs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means the sampling rate varies by population size, prioritizing equal sample sizes over proportional representation. For the Agriculture discipline, the sample is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treats findings as baseline descriptive data for institutional curriculum review.</w:t>
      </w:r>
      <w:r>
        <w:rPr>
          <w:rtl w:val="0"/>
        </w:rPr>
      </w:r>
    </w:p>
    <w:p>
      <w:pPr>
        <w:keepNext w:val="1"/>
        <w:keepLines w:val="1"/>
        <w:spacing w:before="720" w:after="0" w:line="480" w:lineRule="auto"/>
        <w:jc w:val="center"/>
      </w:pPr>
      <w:r>
        <w:rPr>
          <w:rFonts w:ascii="Georgia" w:hAnsi="Georgia"/>
          <w:b/>
          <w:sz w:val="24"/>
        </w:rPr>
        <w:t>Table 1</w:t>
      </w:r>
    </w:p>
    <w:p>
      <w:pPr>
        <w:keepNext w:val="1"/>
        <w:keepLines w:val="1"/>
        <w:spacing w:before="0" w:after="60" w:line="480" w:lineRule="auto"/>
        <w:jc w:val="both"/>
      </w:pPr>
      <w:r>
        <w:rPr>
          <w:rFonts w:ascii="Georgia" w:hAnsi="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cantSplit w:val="1"/>
          <w:tblHeader w:val="0"/>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cantSplit w:val="1"/>
          <w:tblHeader w:val="0"/>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cantSplit w:val="1"/>
          <w:tblHeader w:val="0"/>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cantSplit w:val="1"/>
          <w:tblHeader w:val="0"/>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cs="Georgia" w:eastAsia="Georgia" w:hAnsi="Georgia"/>
          <w:b w:val="1"/>
          <w:bCs w:val="1"/>
          <w:i w:val="0"/>
          <w:iCs w:val="0"/>
          <w:sz w:val="22"/>
          <w:szCs w:val="22"/>
          <w:rtl w:val="0"/>
        </w:rPr>
        <w:t>Inclusion Criteria. English-language undergraduate thesis abstracts; complete abstracts available in the PSAU library archives; clear disciplinary classification based on official degree program; hard-bound submission year (as recorded in the PSAU library catalog) between 2023 and 2025.</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0C0">
      <w:pPr>
        <w:spacing w:before="0" w:after="0" w:line="480" w:lineRule="auto"/>
        <w:ind w:firstLine="720"/>
        <w:jc w:val="both"/>
        <w:rPr/>
      </w:pPr>
      <w:r>
        <w:rPr>
          <w:rFonts w:ascii="Georgia" w:cs="Georgia" w:eastAsia="Georgia" w:hAnsi="Georgia"/>
          <w:b w:val="1"/>
          <w:bCs w:val="1"/>
          <w:i w:val="0"/>
          <w:iCs w:val="0"/>
          <w:sz w:val="22"/>
          <w:szCs w:val="22"/>
          <w:rtl w:val="0"/>
        </w:rPr>
        <w:t xml:space="preserve">Exclusion Criteria. </w:t>
      </w:r>
      <w:r>
        <w:rPr>
          <w:rFonts w:ascii="Georgia" w:cs="Georgia" w:eastAsia="Georgia" w:hAnsi="Georgia"/>
          <w:b w:val="0"/>
          <w:bCs w:val="0"/>
          <w:i w:val="0"/>
          <w:iCs w:val="0"/>
          <w:sz w:val="22"/>
          <w:szCs w:val="22"/>
          <w:rtl w:val="0"/>
        </w:rPr>
        <w:t>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r>
        <w:rPr>
          <w:rtl w:val="0"/>
        </w:rPr>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Times New Roman" w:cs="Times New Roman" w:eastAsia="Georgia" w:hAnsi="Times New Roman"/>
          <w:b w:val="0"/>
          <w:bCs w:val="1"/>
          <w:i w:val="0"/>
          <w:iCs w:val="0"/>
          <w:sz w:val="22"/>
          <w:szCs w:val="22"/>
          <w:rtl w:val="0"/>
        </w:rPr>
        <w:t>Ethical Considerations. 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r>
        <w:rPr>
          <w:rFonts w:ascii="Georgia" w:cs="Georgia" w:eastAsia="Georgia" w:hAnsi="Georgia"/>
          <w:b w:val="0"/>
          <w:bCs w:val="0"/>
          <w:i w:val="0"/>
          <w:iCs w:val="0"/>
          <w:sz w:val="22"/>
          <w:szCs w:val="22"/>
          <w:rtl w:val="0"/>
        </w:rPr>
      </w:r>
      <w:r>
        <w:rPr>
          <w:rtl w:val="0"/>
        </w:rPr>
      </w:r>
    </w:p>
    <w:p w:rsidR="00000000" w:rsidDel="00000000" w:rsidP="00000000" w:rsidRDefault="00000000" w:rsidRPr="00000000" w14:paraId="000000C4">
      <w:pPr>
        <w:keepLines w:val="1"/>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keepLines w:val="1"/>
        <w:spacing w:before="720" w:after="0" w:line="480" w:lineRule="auto"/>
        <w:jc w:val="center"/>
      </w:pPr>
      <w:r>
        <w:rPr>
          <w:rFonts w:ascii="Georgia" w:hAnsi="Georgia"/>
          <w:b/>
          <w:sz w:val="24"/>
        </w:rPr>
        <w:t>Table 2</w:t>
      </w:r>
    </w:p>
    <w:p>
      <w:pPr>
        <w:keepNext w:val="1"/>
        <w:keepLines w:val="1"/>
        <w:spacing w:before="0" w:after="60" w:line="480" w:lineRule="auto"/>
        <w:jc w:val="both"/>
      </w:pPr>
      <w:r>
        <w:rPr>
          <w:rFonts w:ascii="Georgia" w:hAnsi="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cantSplit w:val="1"/>
          <w:tblHeader w:val="0"/>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cantSplit w:val="1"/>
          <w:tblHeader w:val="0"/>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cantSplit w:val="1"/>
          <w:tblHeader w:val="0"/>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included “suggests” (7), “suggest” (3), “suggesting”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for 4.</w:t>
      </w:r>
      <w:r>
        <w:rPr>
          <w:rtl w:val="0"/>
        </w:rPr>
      </w:r>
    </w:p>
    <w:p w:rsidR="00000000" w:rsidDel="00000000" w:rsidP="00000000" w:rsidRDefault="00000000" w:rsidRPr="00000000" w14:paraId="000000E3">
      <w:pPr>
        <w:spacing w:before="0" w:after="0" w:line="480" w:lineRule="auto"/>
        <w:ind w:firstLine="720"/>
        <w:jc w:val="both"/>
        <w:rPr/>
      </w:pPr>
      <w:r>
        <w:rPr>
          <w:rFonts w:ascii="Times New Roman" w:cs="Times New Roman" w:eastAsia="Georgia" w:hAnsi="Times New Roman"/>
          <w:b w:val="0"/>
          <w:bCs w:val="0"/>
          <w:i w:val="0"/>
          <w:iCs w:val="0"/>
          <w:sz w:val="22"/>
          <w:szCs w:val="22"/>
          <w:rtl w:val="0"/>
        </w:rPr>
        <w:t>The distribution of hedge types shows cross-disciplinary differences, most clearly in Veterinary Medicine’s small total and low modal share. Table 3 presents the per-discipline breakdown of hedge types.</w:t>
      </w:r>
      <w:r>
        <w:rPr>
          <w:rtl w:val="0"/>
        </w:rPr>
      </w:r>
    </w:p>
    <w:p>
      <w:pPr>
        <w:keepNext w:val="1"/>
        <w:keepLines w:val="1"/>
        <w:spacing w:before="720" w:after="0" w:line="480" w:lineRule="auto"/>
        <w:jc w:val="center"/>
      </w:pPr>
      <w:r>
        <w:rPr>
          <w:rFonts w:ascii="Georgia" w:hAnsi="Georgia"/>
          <w:b/>
          <w:sz w:val="24"/>
        </w:rPr>
        <w:t>Table 3</w:t>
      </w:r>
    </w:p>
    <w:p>
      <w:pPr>
        <w:keepNext w:val="1"/>
        <w:keepLines w:val="1"/>
        <w:spacing w:before="0" w:after="60" w:line="480" w:lineRule="auto"/>
        <w:jc w:val="center"/>
      </w:pPr>
      <w:r>
        <w:rPr>
          <w:rFonts w:ascii="Georgia" w:hAnsi="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cantSplit w:val="1"/>
          <w:tblHeader w:val="0"/>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cantSplit w:val="1"/>
          <w:tblHeader w:val="0"/>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cantSplit w:val="1"/>
          <w:tblHeader w:val="0"/>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Times New Roman" w:cs="Times New Roman" w:eastAsia="Georgia" w:hAnsi="Times New Roman"/>
          <w:b w:val="0"/>
          <w:bCs w:val="0"/>
          <w:i w:val="0"/>
          <w:iCs w:val="0"/>
          <w:sz w:val="22"/>
          <w:szCs w:val="22"/>
          <w:rtl w:val="0"/>
        </w:rPr>
        <w:t>Table 3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Times New Roman" w:cs="Times New Roman" w:eastAsia="Georgia" w:hAnsi="Times New Roman"/>
          <w:b w:val="0"/>
          <w:bCs w:val="0"/>
          <w:i w:val="0"/>
          <w:iCs w:val="0"/>
          <w:sz w:val="22"/>
          <w:szCs w:val="22"/>
          <w:rtl w:val="0"/>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after applying the codebook’s Working Test.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the Working Test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cs="Georgia" w:eastAsia="Georgia" w:hAnsi="Georgia"/>
          <w:b w:val="0"/>
          <w:bCs w:val="0"/>
          <w:i w:val="0"/>
          <w:iCs w:val="0"/>
          <w:sz w:val="22"/>
          <w:szCs w:val="22"/>
          <w:rtl w:val="0"/>
        </w:rPr>
        <w:t>Additionally, 32 unhedged assertion sites were identified in the 25 zero-hedge abstracts. Of these, 20 were classified as result claims [R], 8 as generalizations [G], and 4 as causal claims [C]. (Five further unhedged sites appear in abstracts that also contain coded hedges (B11, B12, VM9) and are excluded from this zero-hedge count; Table 4’s L3 column reports the corpus-wide total of 37.) These sites represent clauses where a hedge could have been inserted without changing the underlying facts, but no hedge was used. The presence of these unhedged sites in zero-hedge abstracts records an absence of overt hedging; it does not by itself establish that the writer intended absolute commitment, especially where the underlying finding is binary or measured. Expert research articles rarely contain zero hedges (Hyland, 1998). Whether the 41.7% zero-hedge rate in this corpus is high relative to expert abstracts specifically cannot be established here, because no matched expert-abstract baseline is available.</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Times New Roman" w:cs="Times New Roman" w:eastAsia="Georgia" w:hAnsi="Times New Roman"/>
          <w:b w:val="0"/>
          <w:bCs w:val="0"/>
          <w:i w:val="0"/>
          <w:iCs w:val="0"/>
          <w:sz w:val="22"/>
          <w:szCs w:val="22"/>
          <w:rtl w:val="0"/>
        </w:rPr>
        <w:t>Cross-disciplinary comparison shows differences in hedge density, driven mainly by Veterinary Medicine’s lower rate. Table 4 presents the hedge counts, false positives, unhedged sites, and normalized frequency (hedges per 100 words) for each discipline.</w:t>
      </w:r>
      <w:r>
        <w:rPr>
          <w:rtl w:val="0"/>
        </w:rPr>
      </w:r>
    </w:p>
    <w:p>
      <w:pPr>
        <w:keepNext w:val="1"/>
        <w:keepLines w:val="1"/>
        <w:spacing w:before="720" w:after="0" w:line="480" w:lineRule="auto"/>
        <w:jc w:val="center"/>
      </w:pPr>
      <w:r>
        <w:rPr>
          <w:rFonts w:ascii="Georgia" w:hAnsi="Georgia"/>
          <w:b/>
          <w:sz w:val="24"/>
        </w:rPr>
        <w:t>Table 4</w:t>
      </w:r>
    </w:p>
    <w:p>
      <w:pPr>
        <w:keepNext w:val="1"/>
        <w:keepLines w:val="1"/>
        <w:spacing w:before="0" w:after="60" w:line="480" w:lineRule="auto"/>
        <w:jc w:val="center"/>
      </w:pPr>
      <w:r>
        <w:rPr>
          <w:rFonts w:ascii="Georgia" w:hAnsi="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val="1"/>
          <w:tblHeader w:val="1"/>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 xml:space="preserve">L3 Sites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cantSplit w:val="1"/>
          <w:tblHeader w:val="0"/>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cantSplit w:val="1"/>
          <w:tblHeader w:val="0"/>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cantSplit w:val="1"/>
          <w:tblHeader w:val="0"/>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15</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cantSplit w:val="1"/>
          <w:tblHeader w:val="0"/>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37</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4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ungsuh" w:cs="Gungsuh" w:eastAsia="Gungsuh" w:hAnsi="Gungsuh"/>
          <w:b w:val="0"/>
          <w:bCs w:val="0"/>
          <w:i w:val="0"/>
          <w:iCs w:val="0"/>
          <w:sz w:val="22"/>
          <w:szCs w:val="22"/>
          <w:rtl w:val="0"/>
        </w:rPr>
        <w:t>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counts yielded H ≈ 6.84, p = .033. Kruskal-Wallis assumes independent observations; abstracts within a program may be clustered by adviser, so discipline is partly confounded with adviser pool. Within-discipline spread (0–8 hedges per abstract) is also larger than the gaps between discipline means. Given the small sample, zero-inflation, possible clustering, and no multiple-comparison correction, this result is treated as exploratory rather than as confirmatory evidence of a field-level difference. With only 65 tokens across three groups and no correction for multiple tests, the p-values are fragile. A sensitivity check that removes all 19 instances of "potential" leaves 46 hedges; the Kruskal-Wallis contrast remains in the same direction, and Veterinary Medicine’s zero-hedge share rises further. The directional pattern is therefore not an artifact of the "potential" tokens alone.</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 xml:space="preserve">Veterinary Medicine's low density is more difficult to interpret. Many VM abstracts in this corpus reported clinical findings from animal studies (e.g., drug efficacy trials, disease detection, hematological profiling). Outcome-type coding across the full corpus (Part IV; the coding spreadsheet) does not support explaining that low density by binary outcomes alone: Biology abstracts with binary results still hedge more than VM binary abstracts. The low rate is better treated as a VM pattern in this institutional corpus—consistent with departmental or supervisory practice, outcome mix, or both—rather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Under the Working Test, only tokens that produced an epistemic effect were retained as hedges. As a direct consequence of that screen, all 65 retained tokens were coded Epistemic Caution (EC). No instances of Politeness/Deference (P) or Discourse Organization (DO) were identified among coded hedges. Discourse connectors such as Hence, Thus, Therefore, and In conclusion appear in the corpus and are tagged (DO) in Appendix C; they organize research moves but do not qualify claims, so they are not counted as hedges. No politeness/deference devices were found. Table 5 presents the function distribution among tokens coded as hedges.</w:t>
      </w:r>
      <w:r>
        <w:rPr>
          <w:rFonts w:ascii="Georgia" w:cs="Georgia" w:eastAsia="Georgia" w:hAnsi="Georgia"/>
          <w:b w:val="0"/>
          <w:bCs w:val="0"/>
          <w:i w:val="0"/>
          <w:iCs w:val="0"/>
          <w:sz w:val="22"/>
          <w:szCs w:val="22"/>
          <w:rtl w:val="0"/>
          <w:color w:val="00B0F0"/>
        </w:rPr>
        <w:t/>
      </w:r>
      <w:r>
        <w:rPr>
          <w:rFonts w:ascii="Georgia" w:cs="Georgia" w:eastAsia="Georgia" w:hAnsi="Georgia"/>
          <w:b w:val="0"/>
          <w:bCs w:val="0"/>
          <w:i w:val="0"/>
          <w:iCs w:val="0"/>
          <w:sz w:val="22"/>
          <w:szCs w:val="22"/>
          <w:rtl w:val="0"/>
        </w:rPr>
        <w:t/>
      </w:r>
      <w:r>
        <w:rPr>
          <w:rtl w:val="0"/>
        </w:rPr>
      </w:r>
    </w:p>
    <w:p>
      <w:pPr>
        <w:keepNext w:val="1"/>
        <w:keepLines w:val="1"/>
        <w:spacing w:before="720" w:after="0" w:line="480" w:lineRule="auto"/>
        <w:jc w:val="center"/>
      </w:pPr>
      <w:r>
        <w:rPr>
          <w:rFonts w:ascii="Georgia" w:hAnsi="Georgia"/>
          <w:b/>
          <w:sz w:val="24"/>
        </w:rPr>
        <w:t>Table 5</w:t>
      </w:r>
    </w:p>
    <w:p>
      <w:pPr>
        <w:keepNext w:val="1"/>
        <w:keepLines w:val="1"/>
        <w:spacing w:before="0" w:after="60" w:line="480" w:lineRule="auto"/>
        <w:jc w:val="both"/>
      </w:pPr>
      <w:r>
        <w:rPr>
          <w:rFonts w:ascii="Georgia" w:hAnsi="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cantSplit w:val="1"/>
          <w:tblHeader w:val="0"/>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Times New Roman" w:hAnsi="Times New Roman" w:cs="Times New Roman"/>
          <w:b w:val="0"/>
          <w:sz w:val="22"/>
          <w:rtl w:val="0"/>
        </w:rPr>
        <w:t>The uniform assignment may reflect a restricted repertoire, the compressed abstract genre, the coding scheme, or single-rater interpretation; that limitation is noted in Scope. The narrow functional range is consistent with the restricted set of epistemic devices reported for developing L2 writers (Hyland &amp; Milton, 1997), though in this corpus genre compression and supervisory practice remain the more proximate accounts.</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fall in implication and conclusion sentences rather than in direct results reporting. Forms such as potential and suggests/suggesting typically frame applications or interpretations, while results sentences more often use factive verbs (showed, revealed, demonstrated) without qualification. A formal move-structured count was not performed; this remains a qualitative pattern.</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That uniformity is partly built into the Working Test, which screens for epistemic effect; the data therefore cannot strongly support a claim about how writers “view” hedging, only that the retained tokens functioned epistemically under this scheme.</w:t>
      </w:r>
      <w:r>
        <w:rPr>
          <w:rtl w:val="0"/>
        </w:rPr>
      </w:r>
    </w:p>
    <w:p w:rsidR="00000000" w:rsidDel="00000000" w:rsidP="00000000" w:rsidRDefault="00000000" w:rsidRPr="00000000" w14:paraId="0000015F">
      <w:pPr>
        <w:keepNext w:val="1"/>
        <w:keepLines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ungsuh" w:cs="Gungsuh" w:eastAsia="Gungsuh" w:hAnsi="Gungsuh"/>
          <w:rtl w:val="0"/>
        </w:rPr>
        <w:t>Parts I through III show three observable patterns in the ratified abstracts in this corpus. As reported in Part II, an exploratory Kruskal-Wallis test reached p = .033; the chi-square on zero-hedge rates was p = .079, so the labels below are exploratory descriptions of what was observed here, not stable discipline-level characteristics. Generalization beyond this corpus is not warranted. The patterns are read through Salager-Meyer’s (1994) claim-responsibility framework and Hyland’s (2005) stance model.</w:t>
      </w:r>
    </w:p>
    <w:p>
      <w:pPr>
        <w:keepNext w:val="1"/>
        <w:keepLines w:val="1"/>
        <w:spacing w:before="720" w:after="0" w:line="480" w:lineRule="auto"/>
        <w:jc w:val="center"/>
      </w:pPr>
      <w:r>
        <w:rPr>
          <w:rFonts w:ascii="Georgia" w:hAnsi="Georgia" w:cs="Georgia" w:eastAsia="Georgia"/>
          <w:b w:val="1"/>
          <w:bCs w:val="1"/>
          <w:sz w:val="24"/>
          <w:szCs w:val="24"/>
        </w:rPr>
        <w:t xml:space="preserve">Table 6</w:t>
      </w:r>
    </w:p>
    <w:p>
      <w:pPr>
        <w:spacing w:before="0" w:after="60" w:line="480" w:lineRule="auto"/>
        <w:jc w:val="center"/>
      </w:pPr>
      <w:r>
        <w:rPr>
          <w:rFonts w:ascii="Georgia" w:hAnsi="Georgia" w:cs="Georgia" w:eastAsia="Georgia"/>
          <w:b w:val="0"/>
          <w:sz w:val="24"/>
          <w:szCs w:val="24"/>
        </w:rPr>
        <w:t xml:space="preserve">Outcome Type by Discipline</w:t>
      </w:r>
    </w:p>
    <w:tbl>
      <w:tblPr>
        <w:tblW w:type="auto" w:w="0"/>
        <w:jc w:val="center"/>
        <w:tblLayout w:type="autofit"/>
        <w:tblLook w:firstColumn="1" w:firstRow="1" w:lastColumn="0" w:lastRow="0" w:noHBand="0" w:noVBand="1" w:val="04A0"/>
      </w:tblPr>
      <w:tblGrid>
        <w:gridCol w:w="1661"/>
        <w:gridCol w:w="1661"/>
        <w:gridCol w:w="1661"/>
        <w:gridCol w:w="1661"/>
        <w:gridCol w:w="1661"/>
      </w:tblGrid>
      <w:tr>
        <w:trPr>
          <w:cantSplit w:val="1"/>
          <w:tblHeader w:val="1"/>
        </w:trPr>
        <w:tc>
          <w:tcPr>
            <w:tcW w:type="dxa" w:w="2016"/>
            <w:tcBorders>
              <w:top w:val="nil"/>
              <w:left w:val="nil"/>
              <w:bottom w:val="single" w:sz="4" w:color="000000" w:space="0"/>
              <w:right w:val="nil"/>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top w:val="nil"/>
              <w:left w:val="nil"/>
              <w:bottom w:val="single" w:sz="4" w:color="000000" w:space="0"/>
              <w:right w:val="nil"/>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top w:val="nil"/>
              <w:left w:val="nil"/>
              <w:bottom w:val="single" w:sz="4" w:color="000000" w:space="0"/>
              <w:right w:val="nil"/>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top w:val="nil"/>
              <w:left w:val="nil"/>
              <w:bottom w:val="single" w:sz="4" w:color="000000" w:space="0"/>
              <w:right w:val="nil"/>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top w:val="nil"/>
              <w:left w:val="nil"/>
              <w:bottom w:val="single" w:sz="4" w:color="000000" w:space="0"/>
              <w:right w:val="nil"/>
            </w:tcBorders>
          </w:tcPr>
          <w:p>
            <w:pPr>
              <w:spacing w:before="0" w:after="0" w:line="240" w:lineRule="auto"/>
            </w:pPr>
            <w:r>
              <w:rPr>
                <w:rFonts w:ascii="Georgia" w:hAnsi="Georgia" w:cs="Georgia" w:eastAsia="Georgia"/>
                <w:b w:val="1"/>
                <w:bCs w:val="1"/>
                <w:sz w:val="18"/>
                <w:szCs w:val="18"/>
              </w:rPr>
              <w:t xml:space="preserve">Total</w:t>
            </w:r>
          </w:p>
        </w:tc>
      </w:tr>
      <w:tr>
        <w:trPr>
          <w:cantSplit w:val="1"/>
        </w:trPr>
        <w:tc>
          <w:tcPr>
            <w:tcW w:type="dxa" w:w="2016"/>
            <w:tcBorders>
              <w:top w:val="nil"/>
              <w:left w:val="nil"/>
              <w:bottom w:val="nil"/>
              <w:right w:val="nil"/>
            </w:tcBorders>
          </w:tcPr>
          <w:p>
            <w:pPr>
              <w:spacing w:before="0" w:after="0" w:line="240" w:lineRule="auto"/>
            </w:pPr>
            <w:r>
              <w:rPr>
                <w:rFonts w:ascii="Georgia" w:hAnsi="Georgia" w:cs="Georgia" w:eastAsia="Georgia"/>
                <w:b w:val="0"/>
                <w:sz w:val="18"/>
                <w:szCs w:val="18"/>
              </w:rPr>
              <w:t xml:space="preserve">Binary</w:t>
            </w:r>
          </w:p>
        </w:tc>
        <w:tc>
          <w:tcPr>
            <w:tcW w:type="dxa" w:w="1728"/>
            <w:tcBorders>
              <w:top w:val="nil"/>
              <w:left w:val="nil"/>
              <w:bottom w:val="nil"/>
              <w:right w:val="nil"/>
            </w:tcBorders>
          </w:tcPr>
          <w:p>
            <w:pPr>
              <w:spacing w:before="0" w:after="0" w:line="240" w:lineRule="auto"/>
            </w:pPr>
            <w:r>
              <w:rPr>
                <w:rFonts w:ascii="Georgia" w:hAnsi="Georgia" w:cs="Georgia" w:eastAsia="Georgia"/>
                <w:b w:val="0"/>
                <w:sz w:val="18"/>
                <w:szCs w:val="18"/>
              </w:rPr>
              <w:t xml:space="preserve">0</w:t>
            </w:r>
          </w:p>
        </w:tc>
        <w:tc>
          <w:tcPr>
            <w:tcW w:type="dxa" w:w="2304"/>
            <w:tcBorders>
              <w:top w:val="nil"/>
              <w:left w:val="nil"/>
              <w:bottom w:val="nil"/>
              <w:right w:val="nil"/>
            </w:tcBorders>
          </w:tcPr>
          <w:p>
            <w:pPr>
              <w:spacing w:before="0" w:after="0" w:line="240" w:lineRule="auto"/>
            </w:pPr>
            <w:r>
              <w:rPr>
                <w:rFonts w:ascii="Georgia" w:hAnsi="Georgia" w:cs="Georgia" w:eastAsia="Georgia"/>
                <w:b w:val="0"/>
                <w:sz w:val="18"/>
                <w:szCs w:val="18"/>
              </w:rPr>
              <w:t xml:space="preserve">8</w:t>
            </w:r>
          </w:p>
        </w:tc>
        <w:tc>
          <w:tcPr>
            <w:tcW w:type="dxa" w:w="1584"/>
            <w:tcBorders>
              <w:top w:val="nil"/>
              <w:left w:val="nil"/>
              <w:bottom w:val="nil"/>
              <w:right w:val="nil"/>
            </w:tcBorders>
          </w:tcPr>
          <w:p>
            <w:pPr>
              <w:spacing w:before="0" w:after="0" w:line="240" w:lineRule="auto"/>
            </w:pPr>
            <w:r>
              <w:rPr>
                <w:rFonts w:ascii="Georgia" w:hAnsi="Georgia" w:cs="Georgia" w:eastAsia="Georgia"/>
                <w:b w:val="0"/>
                <w:sz w:val="18"/>
                <w:szCs w:val="18"/>
              </w:rPr>
              <w:t xml:space="preserve">7</w:t>
            </w:r>
          </w:p>
        </w:tc>
        <w:tc>
          <w:tcPr>
            <w:tcW w:type="dxa" w:w="1296"/>
            <w:tcBorders>
              <w:top w:val="nil"/>
              <w:left w:val="nil"/>
              <w:bottom w:val="nil"/>
              <w:right w:val="nil"/>
            </w:tcBorders>
          </w:tcPr>
          <w:p>
            <w:pPr>
              <w:spacing w:before="0" w:after="0" w:line="240" w:lineRule="auto"/>
            </w:pPr>
            <w:r>
              <w:rPr>
                <w:rFonts w:ascii="Georgia" w:hAnsi="Georgia" w:cs="Georgia" w:eastAsia="Georgia"/>
                <w:b w:val="0"/>
                <w:sz w:val="18"/>
                <w:szCs w:val="18"/>
              </w:rPr>
              <w:t xml:space="preserve">15</w:t>
            </w:r>
          </w:p>
        </w:tc>
      </w:tr>
      <w:tr>
        <w:trPr>
          <w:cantSplit w:val="1"/>
        </w:trPr>
        <w:tc>
          <w:tcPr>
            <w:tcW w:type="dxa" w:w="2016"/>
            <w:tcBorders>
              <w:top w:val="nil"/>
              <w:left w:val="nil"/>
              <w:bottom w:val="nil"/>
              <w:right w:val="nil"/>
            </w:tcBorders>
          </w:tcPr>
          <w:p>
            <w:pPr>
              <w:spacing w:before="0" w:after="0" w:line="240" w:lineRule="auto"/>
            </w:pPr>
            <w:r>
              <w:rPr>
                <w:rFonts w:ascii="Georgia" w:hAnsi="Georgia" w:cs="Georgia" w:eastAsia="Georgia"/>
                <w:b w:val="0"/>
                <w:sz w:val="18"/>
                <w:szCs w:val="18"/>
              </w:rPr>
              <w:t xml:space="preserve">Continuous</w:t>
            </w:r>
          </w:p>
        </w:tc>
        <w:tc>
          <w:tcPr>
            <w:tcW w:type="dxa" w:w="1728"/>
            <w:tcBorders>
              <w:top w:val="nil"/>
              <w:left w:val="nil"/>
              <w:bottom w:val="nil"/>
              <w:right w:val="nil"/>
            </w:tcBorders>
          </w:tcPr>
          <w:p>
            <w:pPr>
              <w:spacing w:before="0" w:after="0" w:line="240" w:lineRule="auto"/>
            </w:pPr>
            <w:r>
              <w:rPr>
                <w:rFonts w:ascii="Georgia" w:hAnsi="Georgia" w:cs="Georgia" w:eastAsia="Georgia"/>
                <w:b w:val="0"/>
                <w:sz w:val="18"/>
                <w:szCs w:val="18"/>
              </w:rPr>
              <w:t xml:space="preserve">4</w:t>
            </w:r>
          </w:p>
        </w:tc>
        <w:tc>
          <w:tcPr>
            <w:tcW w:type="dxa" w:w="2304"/>
            <w:tcBorders>
              <w:top w:val="nil"/>
              <w:left w:val="nil"/>
              <w:bottom w:val="nil"/>
              <w:right w:val="nil"/>
            </w:tcBorders>
          </w:tcPr>
          <w:p>
            <w:pPr>
              <w:spacing w:before="0" w:after="0" w:line="240" w:lineRule="auto"/>
            </w:pPr>
            <w:r>
              <w:rPr>
                <w:rFonts w:ascii="Georgia" w:hAnsi="Georgia" w:cs="Georgia" w:eastAsia="Georgia"/>
                <w:b w:val="0"/>
                <w:sz w:val="18"/>
                <w:szCs w:val="18"/>
              </w:rPr>
              <w:t xml:space="preserve">4</w:t>
            </w:r>
          </w:p>
        </w:tc>
        <w:tc>
          <w:tcPr>
            <w:tcW w:type="dxa" w:w="1584"/>
            <w:tcBorders>
              <w:top w:val="nil"/>
              <w:left w:val="nil"/>
              <w:bottom w:val="nil"/>
              <w:right w:val="nil"/>
            </w:tcBorders>
          </w:tcPr>
          <w:p>
            <w:pPr>
              <w:spacing w:before="0" w:after="0" w:line="240" w:lineRule="auto"/>
            </w:pPr>
            <w:r>
              <w:rPr>
                <w:rFonts w:ascii="Georgia" w:hAnsi="Georgia" w:cs="Georgia" w:eastAsia="Georgia"/>
                <w:b w:val="0"/>
                <w:sz w:val="18"/>
                <w:szCs w:val="18"/>
              </w:rPr>
              <w:t xml:space="preserve">2</w:t>
            </w:r>
          </w:p>
        </w:tc>
        <w:tc>
          <w:tcPr>
            <w:tcW w:type="dxa" w:w="1296"/>
            <w:tcBorders>
              <w:top w:val="nil"/>
              <w:left w:val="nil"/>
              <w:bottom w:val="nil"/>
              <w:right w:val="nil"/>
            </w:tcBorders>
          </w:tcPr>
          <w:p>
            <w:pPr>
              <w:spacing w:before="0" w:after="0" w:line="240" w:lineRule="auto"/>
            </w:pPr>
            <w:r>
              <w:rPr>
                <w:rFonts w:ascii="Georgia" w:hAnsi="Georgia" w:cs="Georgia" w:eastAsia="Georgia"/>
                <w:b w:val="0"/>
                <w:sz w:val="18"/>
                <w:szCs w:val="18"/>
              </w:rPr>
              <w:t xml:space="preserve">10</w:t>
            </w:r>
          </w:p>
        </w:tc>
      </w:tr>
      <w:tr>
        <w:trPr>
          <w:cantSplit w:val="1"/>
        </w:trPr>
        <w:tc>
          <w:tcPr>
            <w:tcW w:type="dxa" w:w="2016"/>
            <w:tcBorders>
              <w:top w:val="nil"/>
              <w:left w:val="nil"/>
              <w:bottom w:val="nil"/>
              <w:right w:val="nil"/>
            </w:tcBorders>
          </w:tcPr>
          <w:p>
            <w:pPr>
              <w:spacing w:before="0" w:after="0" w:line="240" w:lineRule="auto"/>
            </w:pPr>
            <w:r>
              <w:rPr>
                <w:rFonts w:ascii="Georgia" w:hAnsi="Georgia" w:cs="Georgia" w:eastAsia="Georgia"/>
                <w:b w:val="0"/>
                <w:sz w:val="18"/>
                <w:szCs w:val="18"/>
              </w:rPr>
              <w:t xml:space="preserve">Mixed</w:t>
            </w:r>
          </w:p>
        </w:tc>
        <w:tc>
          <w:tcPr>
            <w:tcW w:type="dxa" w:w="1728"/>
            <w:tcBorders>
              <w:top w:val="nil"/>
              <w:left w:val="nil"/>
              <w:bottom w:val="nil"/>
              <w:right w:val="nil"/>
            </w:tcBorders>
          </w:tcPr>
          <w:p>
            <w:pPr>
              <w:spacing w:before="0" w:after="0" w:line="240" w:lineRule="auto"/>
            </w:pPr>
            <w:r>
              <w:rPr>
                <w:rFonts w:ascii="Georgia" w:hAnsi="Georgia" w:cs="Georgia" w:eastAsia="Georgia"/>
                <w:b w:val="0"/>
                <w:sz w:val="18"/>
                <w:szCs w:val="18"/>
              </w:rPr>
              <w:t xml:space="preserve">2</w:t>
            </w:r>
          </w:p>
        </w:tc>
        <w:tc>
          <w:tcPr>
            <w:tcW w:type="dxa" w:w="2304"/>
            <w:tcBorders>
              <w:top w:val="nil"/>
              <w:left w:val="nil"/>
              <w:bottom w:val="nil"/>
              <w:right w:val="nil"/>
            </w:tcBorders>
          </w:tcPr>
          <w:p>
            <w:pPr>
              <w:spacing w:before="0" w:after="0" w:line="240" w:lineRule="auto"/>
            </w:pPr>
            <w:r>
              <w:rPr>
                <w:rFonts w:ascii="Georgia" w:hAnsi="Georgia" w:cs="Georgia" w:eastAsia="Georgia"/>
                <w:b w:val="0"/>
                <w:sz w:val="18"/>
                <w:szCs w:val="18"/>
              </w:rPr>
              <w:t xml:space="preserve">3</w:t>
            </w:r>
          </w:p>
        </w:tc>
        <w:tc>
          <w:tcPr>
            <w:tcW w:type="dxa" w:w="1584"/>
            <w:tcBorders>
              <w:top w:val="nil"/>
              <w:left w:val="nil"/>
              <w:bottom w:val="nil"/>
              <w:right w:val="nil"/>
            </w:tcBorders>
          </w:tcPr>
          <w:p>
            <w:pPr>
              <w:spacing w:before="0" w:after="0" w:line="240" w:lineRule="auto"/>
            </w:pPr>
            <w:r>
              <w:rPr>
                <w:rFonts w:ascii="Georgia" w:hAnsi="Georgia" w:cs="Georgia" w:eastAsia="Georgia"/>
                <w:b w:val="0"/>
                <w:sz w:val="18"/>
                <w:szCs w:val="18"/>
              </w:rPr>
              <w:t xml:space="preserve">4</w:t>
            </w:r>
          </w:p>
        </w:tc>
        <w:tc>
          <w:tcPr>
            <w:tcW w:type="dxa" w:w="1296"/>
            <w:tcBorders>
              <w:top w:val="nil"/>
              <w:left w:val="nil"/>
              <w:bottom w:val="nil"/>
              <w:right w:val="nil"/>
            </w:tcBorders>
          </w:tcPr>
          <w:p>
            <w:pPr>
              <w:spacing w:before="0" w:after="0" w:line="240" w:lineRule="auto"/>
            </w:pPr>
            <w:r>
              <w:rPr>
                <w:rFonts w:ascii="Georgia" w:hAnsi="Georgia" w:cs="Georgia" w:eastAsia="Georgia"/>
                <w:b w:val="0"/>
                <w:sz w:val="18"/>
                <w:szCs w:val="18"/>
              </w:rPr>
              <w:t xml:space="preserve">9</w:t>
            </w:r>
          </w:p>
        </w:tc>
      </w:tr>
      <w:tr>
        <w:trPr>
          <w:cantSplit w:val="1"/>
        </w:trPr>
        <w:tc>
          <w:tcPr>
            <w:tcW w:type="dxa" w:w="2016"/>
            <w:tcBorders>
              <w:top w:val="nil"/>
              <w:left w:val="nil"/>
              <w:bottom w:val="nil"/>
              <w:right w:val="nil"/>
            </w:tcBorders>
          </w:tcPr>
          <w:p>
            <w:pPr>
              <w:spacing w:before="0" w:after="0" w:line="240" w:lineRule="auto"/>
            </w:pPr>
            <w:r>
              <w:rPr>
                <w:rFonts w:ascii="Georgia" w:hAnsi="Georgia" w:cs="Georgia" w:eastAsia="Georgia"/>
                <w:b w:val="0"/>
                <w:sz w:val="18"/>
                <w:szCs w:val="18"/>
              </w:rPr>
              <w:t xml:space="preserve">Null/NS</w:t>
            </w:r>
          </w:p>
        </w:tc>
        <w:tc>
          <w:tcPr>
            <w:tcW w:type="dxa" w:w="1728"/>
            <w:tcBorders>
              <w:top w:val="nil"/>
              <w:left w:val="nil"/>
              <w:bottom w:val="nil"/>
              <w:right w:val="nil"/>
            </w:tcBorders>
          </w:tcPr>
          <w:p>
            <w:pPr>
              <w:spacing w:before="0" w:after="0" w:line="240" w:lineRule="auto"/>
            </w:pPr>
            <w:r>
              <w:rPr>
                <w:rFonts w:ascii="Georgia" w:hAnsi="Georgia" w:cs="Georgia" w:eastAsia="Georgia"/>
                <w:b w:val="0"/>
                <w:sz w:val="18"/>
                <w:szCs w:val="18"/>
              </w:rPr>
              <w:t xml:space="preserve">14</w:t>
            </w:r>
          </w:p>
        </w:tc>
        <w:tc>
          <w:tcPr>
            <w:tcW w:type="dxa" w:w="2304"/>
            <w:tcBorders>
              <w:top w:val="nil"/>
              <w:left w:val="nil"/>
              <w:bottom w:val="nil"/>
              <w:right w:val="nil"/>
            </w:tcBorders>
          </w:tcPr>
          <w:p>
            <w:pPr>
              <w:spacing w:before="0" w:after="0" w:line="240" w:lineRule="auto"/>
            </w:pPr>
            <w:r>
              <w:rPr>
                <w:rFonts w:ascii="Georgia" w:hAnsi="Georgia" w:cs="Georgia" w:eastAsia="Georgia"/>
                <w:b w:val="0"/>
                <w:sz w:val="18"/>
                <w:szCs w:val="18"/>
              </w:rPr>
              <w:t xml:space="preserve">2</w:t>
            </w:r>
          </w:p>
        </w:tc>
        <w:tc>
          <w:tcPr>
            <w:tcW w:type="dxa" w:w="1584"/>
            <w:tcBorders>
              <w:top w:val="nil"/>
              <w:left w:val="nil"/>
              <w:bottom w:val="nil"/>
              <w:right w:val="nil"/>
            </w:tcBorders>
          </w:tcPr>
          <w:p>
            <w:pPr>
              <w:spacing w:before="0" w:after="0" w:line="240" w:lineRule="auto"/>
            </w:pPr>
            <w:r>
              <w:rPr>
                <w:rFonts w:ascii="Georgia" w:hAnsi="Georgia" w:cs="Georgia" w:eastAsia="Georgia"/>
                <w:b w:val="0"/>
                <w:sz w:val="18"/>
                <w:szCs w:val="18"/>
              </w:rPr>
              <w:t xml:space="preserve">5</w:t>
            </w:r>
          </w:p>
        </w:tc>
        <w:tc>
          <w:tcPr>
            <w:tcW w:type="dxa" w:w="1296"/>
            <w:tcBorders>
              <w:top w:val="nil"/>
              <w:left w:val="nil"/>
              <w:bottom w:val="nil"/>
              <w:right w:val="nil"/>
            </w:tcBorders>
          </w:tcPr>
          <w:p>
            <w:pPr>
              <w:spacing w:before="0" w:after="0" w:line="240" w:lineRule="auto"/>
            </w:pPr>
            <w:r>
              <w:rPr>
                <w:rFonts w:ascii="Georgia" w:hAnsi="Georgia" w:cs="Georgia" w:eastAsia="Georgia"/>
                <w:b w:val="0"/>
                <w:sz w:val="18"/>
                <w:szCs w:val="18"/>
              </w:rPr>
              <w:t xml:space="preserve">21</w:t>
            </w:r>
          </w:p>
        </w:tc>
      </w:tr>
      <w:tr>
        <w:trPr>
          <w:cantSplit w:val="1"/>
        </w:trPr>
        <w:tc>
          <w:tcPr>
            <w:tcW w:type="dxa" w:w="2016"/>
            <w:tcBorders>
              <w:top w:val="nil"/>
              <w:left w:val="nil"/>
              <w:bottom w:val="nil"/>
              <w:right w:val="nil"/>
            </w:tcBorders>
          </w:tcPr>
          <w:p>
            <w:pPr>
              <w:spacing w:before="0" w:after="0" w:line="240" w:lineRule="auto"/>
            </w:pPr>
            <w:r>
              <w:rPr>
                <w:rFonts w:ascii="Georgia" w:hAnsi="Georgia" w:cs="Georgia" w:eastAsia="Georgia"/>
                <w:b w:val="0"/>
                <w:sz w:val="18"/>
                <w:szCs w:val="18"/>
              </w:rPr>
              <w:t xml:space="preserve">Other</w:t>
            </w:r>
          </w:p>
        </w:tc>
        <w:tc>
          <w:tcPr>
            <w:tcW w:type="dxa" w:w="1728"/>
            <w:tcBorders>
              <w:top w:val="nil"/>
              <w:left w:val="nil"/>
              <w:bottom w:val="nil"/>
              <w:right w:val="nil"/>
            </w:tcBorders>
          </w:tcPr>
          <w:p>
            <w:pPr>
              <w:spacing w:before="0" w:after="0" w:line="240" w:lineRule="auto"/>
            </w:pPr>
            <w:r>
              <w:rPr>
                <w:rFonts w:ascii="Georgia" w:hAnsi="Georgia" w:cs="Georgia" w:eastAsia="Georgia"/>
                <w:b w:val="0"/>
                <w:sz w:val="18"/>
                <w:szCs w:val="18"/>
              </w:rPr>
              <w:t xml:space="preserve">0</w:t>
            </w:r>
          </w:p>
        </w:tc>
        <w:tc>
          <w:tcPr>
            <w:tcW w:type="dxa" w:w="2304"/>
            <w:tcBorders>
              <w:top w:val="nil"/>
              <w:left w:val="nil"/>
              <w:bottom w:val="nil"/>
              <w:right w:val="nil"/>
            </w:tcBorders>
          </w:tcPr>
          <w:p>
            <w:pPr>
              <w:spacing w:before="0" w:after="0" w:line="240" w:lineRule="auto"/>
            </w:pPr>
            <w:r>
              <w:rPr>
                <w:rFonts w:ascii="Georgia" w:hAnsi="Georgia" w:cs="Georgia" w:eastAsia="Georgia"/>
                <w:b w:val="0"/>
                <w:sz w:val="18"/>
                <w:szCs w:val="18"/>
              </w:rPr>
              <w:t xml:space="preserve">3</w:t>
            </w:r>
          </w:p>
        </w:tc>
        <w:tc>
          <w:tcPr>
            <w:tcW w:type="dxa" w:w="1584"/>
            <w:tcBorders>
              <w:top w:val="nil"/>
              <w:left w:val="nil"/>
              <w:bottom w:val="nil"/>
              <w:right w:val="nil"/>
            </w:tcBorders>
          </w:tcPr>
          <w:p>
            <w:pPr>
              <w:spacing w:before="0" w:after="0" w:line="240" w:lineRule="auto"/>
            </w:pPr>
            <w:r>
              <w:rPr>
                <w:rFonts w:ascii="Georgia" w:hAnsi="Georgia" w:cs="Georgia" w:eastAsia="Georgia"/>
                <w:b w:val="0"/>
                <w:sz w:val="18"/>
                <w:szCs w:val="18"/>
              </w:rPr>
              <w:t xml:space="preserve">2</w:t>
            </w:r>
          </w:p>
        </w:tc>
        <w:tc>
          <w:tcPr>
            <w:tcW w:type="dxa" w:w="1296"/>
            <w:tcBorders>
              <w:top w:val="nil"/>
              <w:left w:val="nil"/>
              <w:bottom w:val="nil"/>
              <w:right w:val="nil"/>
            </w:tcBorders>
          </w:tcPr>
          <w:p>
            <w:pPr>
              <w:spacing w:before="0" w:after="0" w:line="240" w:lineRule="auto"/>
            </w:pPr>
            <w:r>
              <w:rPr>
                <w:rFonts w:ascii="Georgia" w:hAnsi="Georgia" w:cs="Georgia" w:eastAsia="Georgia"/>
                <w:b w:val="0"/>
                <w:sz w:val="18"/>
                <w:szCs w:val="18"/>
              </w:rPr>
              <w:t xml:space="preserve">5</w:t>
            </w:r>
          </w:p>
        </w:tc>
      </w:tr>
      <w:tr>
        <w:trPr>
          <w:cantSplit w:val="1"/>
        </w:trPr>
        <w:tc>
          <w:tcPr>
            <w:tcW w:type="dxa" w:w="2016"/>
            <w:tcBorders>
              <w:top w:val="nil"/>
              <w:left w:val="nil"/>
              <w:bottom w:val="nil"/>
              <w:right w:val="nil"/>
            </w:tcBorders>
          </w:tcPr>
          <w:p>
            <w:pPr>
              <w:spacing w:before="0" w:after="0" w:line="240" w:lineRule="auto"/>
            </w:pPr>
            <w:r>
              <w:rPr>
                <w:rFonts w:ascii="Georgia" w:hAnsi="Georgia" w:cs="Georgia" w:eastAsia="Georgia"/>
                <w:b w:val="0"/>
                <w:sz w:val="18"/>
                <w:szCs w:val="18"/>
              </w:rPr>
              <w:t xml:space="preserve">Total</w:t>
            </w:r>
          </w:p>
        </w:tc>
        <w:tc>
          <w:tcPr>
            <w:tcW w:type="dxa" w:w="1728"/>
            <w:tcBorders>
              <w:top w:val="nil"/>
              <w:left w:val="nil"/>
              <w:bottom w:val="nil"/>
              <w:right w:val="nil"/>
            </w:tcBorders>
          </w:tcPr>
          <w:p>
            <w:pPr>
              <w:spacing w:before="0" w:after="0" w:line="240" w:lineRule="auto"/>
            </w:pPr>
            <w:r>
              <w:rPr>
                <w:rFonts w:ascii="Georgia" w:hAnsi="Georgia" w:cs="Georgia" w:eastAsia="Georgia"/>
                <w:b w:val="0"/>
                <w:sz w:val="18"/>
                <w:szCs w:val="18"/>
              </w:rPr>
              <w:t xml:space="preserve">20</w:t>
            </w:r>
          </w:p>
        </w:tc>
        <w:tc>
          <w:tcPr>
            <w:tcW w:type="dxa" w:w="2304"/>
            <w:tcBorders>
              <w:top w:val="nil"/>
              <w:left w:val="nil"/>
              <w:bottom w:val="nil"/>
              <w:right w:val="nil"/>
            </w:tcBorders>
          </w:tcPr>
          <w:p>
            <w:pPr>
              <w:spacing w:before="0" w:after="0" w:line="240" w:lineRule="auto"/>
            </w:pPr>
            <w:r>
              <w:rPr>
                <w:rFonts w:ascii="Georgia" w:hAnsi="Georgia" w:cs="Georgia" w:eastAsia="Georgia"/>
                <w:b w:val="0"/>
                <w:sz w:val="18"/>
                <w:szCs w:val="18"/>
              </w:rPr>
              <w:t xml:space="preserve">20</w:t>
            </w:r>
          </w:p>
        </w:tc>
        <w:tc>
          <w:tcPr>
            <w:tcW w:type="dxa" w:w="1584"/>
            <w:tcBorders>
              <w:top w:val="nil"/>
              <w:left w:val="nil"/>
              <w:bottom w:val="nil"/>
              <w:right w:val="nil"/>
            </w:tcBorders>
          </w:tcPr>
          <w:p>
            <w:pPr>
              <w:spacing w:before="0" w:after="0" w:line="240" w:lineRule="auto"/>
            </w:pPr>
            <w:r>
              <w:rPr>
                <w:rFonts w:ascii="Georgia" w:hAnsi="Georgia" w:cs="Georgia" w:eastAsia="Georgia"/>
                <w:b w:val="0"/>
                <w:sz w:val="18"/>
                <w:szCs w:val="18"/>
              </w:rPr>
              <w:t xml:space="preserve">20</w:t>
            </w:r>
          </w:p>
        </w:tc>
        <w:tc>
          <w:tcPr>
            <w:tcW w:type="dxa" w:w="1296"/>
            <w:tcBorders>
              <w:top w:val="nil"/>
              <w:left w:val="nil"/>
              <w:bottom w:val="nil"/>
              <w:right w:val="nil"/>
            </w:tcBorders>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Times New Roman" w:hAnsi="Times New Roman" w:cs="Times New Roman"/>
          <w:b w:val="0"/>
          <w:sz w:val="22"/>
          <w:rtl w:val="0"/>
        </w:rPr>
        <w:t>Outcome type was coded for all 60 abstracts under five categories (Binary, Continuous, Mixed, Null/NS, Other). Coding used the abstract’s own results language: presence/absence or diagnostic positive/negative counts as Binary; explicit non-significance as Null/NS; means, yields, and rates as Continuous; combinations as Mixed. Table 6 shows the distribution.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 separate pattern in the same table is worth noting: Agriculture accounts for 14 of 20 Null/NS abstracts, against 2 of 20 in VM, and those Agriculture Null/NS texts average about 1.5 hedges. Acs2 illustrates how a non-significant finding can still attract hedges that keep possible benefits in view; one abstract cannot establish a rule. With small cells, both the VM reading and the Null/NS share remain suggestive.</w:t>
      </w:r>
    </w:p>
    <w:p w:rsidR="00000000" w:rsidDel="00000000" w:rsidP="00000000" w:rsidRDefault="00000000" w:rsidRPr="00000000" w14:paraId="00000162">
      <w:pPr>
        <w:spacing w:before="0" w:after="0" w:line="480" w:lineRule="auto"/>
        <w:ind w:firstLine="720"/>
        <w:jc w:val="both"/>
        <w:rPr/>
      </w:pP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163">
      <w:pPr>
        <w:spacing w:before="0" w:after="0" w:line="480" w:lineRule="auto"/>
        <w:ind w:firstLine="720"/>
        <w:jc w:val="both"/>
        <w:rPr/>
      </w:pP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164">
      <w:pPr>
        <w:spacing w:before="0" w:after="0" w:line="480" w:lineRule="auto"/>
        <w:ind w:firstLine="720"/>
        <w:jc w:val="both"/>
        <w:rPr/>
      </w:pP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165">
      <w:pPr>
        <w:spacing w:before="0" w:after="0" w:line="480" w:lineRule="auto"/>
        <w:ind w:firstLine="720"/>
        <w:jc w:val="both"/>
        <w:rPr/>
      </w:pPr>
      <w:r>
        <w:rPr>
          <w:rFonts w:ascii="Georgia" w:cs="Georgia" w:eastAsia="Georgia" w:hAnsi="Georgia"/>
          <w:b w:val="0"/>
          <w:bCs w:val="0"/>
          <w:i w:val="0"/>
          <w:iCs w:val="0"/>
          <w:sz w:val="22"/>
          <w:szCs w:val="22"/>
          <w:rtl w:val="0"/>
        </w:rPr>
        <w:t xml:space="preserve">As noted in Part III, 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tl w:val="0"/>
        </w:rPr>
      </w:r>
    </w:p>
    <w:p w:rsidR="00000000" w:rsidDel="00000000" w:rsidP="00000000" w:rsidRDefault="00000000" w:rsidRPr="00000000" w14:paraId="00000166">
      <w:pPr>
        <w:spacing w:before="0" w:after="0" w:line="480" w:lineRule="auto"/>
        <w:ind w:firstLine="720"/>
        <w:jc w:val="both"/>
        <w:rPr/>
      </w:pPr>
      <w:r>
        <w:rPr>
          <w:rFonts w:ascii="Georgia" w:cs="Georgia" w:eastAsia="Georgia" w:hAnsi="Georgia"/>
          <w:b w:val="0"/>
          <w:bCs w:val="0"/>
          <w:i w:val="0"/>
          <w:iCs w:val="0"/>
          <w:sz w:val="22"/>
          <w:szCs w:val="22"/>
          <w:rtl w:val="0"/>
        </w:rPr>
        <w:t xml:space="preserve">However, the study cannot determine whether these disciplinary patterns reflect genuine epistemic norms internalized by developing researchers or simply the conventions enforced by faculty advisers during thesis supervision. As noted in the scope and limitations, undergraduate theses are heavily supervised, and observed patterns reflect departmental standards as much as individual writer choices. The findings are descriptive of the textual artifacts produced at PSAU, not of the cognitive processes of individual writers.</w:t>
      </w:r>
      <w:r>
        <w:rPr>
          <w:rtl w:val="0"/>
        </w:rPr>
      </w:r>
    </w:p>
    <w:p w:rsidR="00000000" w:rsidDel="00000000" w:rsidP="00000000" w:rsidRDefault="00000000" w:rsidRPr="00000000" w14:paraId="00000167">
      <w:pPr>
        <w:spacing w:before="0" w:after="0" w:line="480" w:lineRule="auto"/>
        <w:ind w:firstLine="720"/>
        <w:jc w:val="both"/>
        <w:rPr/>
      </w:pPr>
      <w:r>
        <w:rPr>
          <w:rtl w:val="0"/>
        </w:rPr>
        <w:t/>
      </w:r>
    </w:p>
    <w:p w:rsidR="00000000" w:rsidDel="00000000" w:rsidP="00000000" w:rsidRDefault="00000000" w:rsidRPr="00000000" w14:paraId="0000016E">
      <w:pPr>
        <w:keepLines w:val="1"/>
        <w:pageBreakBefore w:val="1"/>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Under the Working Test, every retained hedge was coded as Epistemic Caution; the uniform function assignment is therefore partly a consequence of the identification screen.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ungsuh" w:cs="Gungsuh" w:eastAsia="Gungsuh" w:hAnsi="Gungsuh"/>
          <w:b w:val="0"/>
          <w:bCs w:val="0"/>
          <w:i w:val="0"/>
          <w:iCs w:val="0"/>
          <w:sz w:val="22"/>
          <w:szCs w:val="22"/>
          <w:rtl w:val="0"/>
        </w:rPr>
        <w:t>Limited evidence of differentiation, mainly Veterinary Medicine. Agriculture’s edge over Biology is modest and outlier-sensitive. The data cannot separate field norms, adviser practice, and outcome type. Statistical evidence is exploratory (Kruskal-Wallis p = .033, no multiple-comparison correction) and the sample is small. The study provides a local baseline: VM abstracts in this corpus hedge less; the cause remains unknown.</w:t>
      </w:r>
      <w:r>
        <w:rPr>
          <w:rtl w:val="0"/>
        </w:rPr>
      </w:r>
    </w:p>
    <w:p w:rsidR="00000000" w:rsidDel="00000000" w:rsidP="00000000" w:rsidRDefault="00000000" w:rsidRPr="00000000" w14:paraId="00000178">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whether the disciplinary patterns observed in this study persist across multiple institutions and </w:t>
      </w:r>
      <w:r>
        <w:rPr>
          <w:rtl w:val="0"/>
        </w:rPr>
        <w:t xml:space="preserve">groups</w:t>
      </w:r>
      <w:r>
        <w:rPr>
          <w:rFonts w:ascii="Georgia" w:cs="Georgia" w:eastAsia="Georgia" w:hAnsi="Georgia"/>
          <w:b w:val="0"/>
          <w:bCs w:val="0"/>
          <w:i w:val="0"/>
          <w:iCs w:val="0"/>
          <w:sz w:val="22"/>
          <w:szCs w:val="22"/>
          <w:rtl w:val="0"/>
        </w:rPr>
        <w:t xml:space="preserve">. A multi-institutional comparison involving other Philippine state universities would help determine whether the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If VM advisers explicitly discourage hedging in abstracts, or rarely require it, that would align with a supervisory-practice account of the low VM density. Parallel work could also compare how often each discipline writes up non-significant findings, given Agriculture’s high Null/NS share in this corpus and the possibility that null write-ups invite different hedging choices.</w:t>
      </w:r>
      <w:r>
        <w:rPr>
          <w:rtl w:val="0"/>
        </w:rPr>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The coding methodology developed in this study, including the codebook’s decision rules and the Layer 3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keepLines w:val="1"/>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both"/>
        <w:rPr/>
      </w:pPr>
      <w:r>
        <w:rPr>
          <w:rFonts w:ascii="Georgia" w:cs="Georgia" w:eastAsia="Georgia" w:hAnsi="Georgia"/>
          <w:b w:val="0"/>
          <w:bCs w:val="0"/>
          <w:i w:val="0"/>
          <w:iCs w:val="0"/>
          <w:sz w:val="22"/>
          <w:szCs w:val="22"/>
          <w:rtl w:val="0"/>
        </w:rPr>
        <w:t xml:space="preserve">Afshar, H. S., Moradi, M., &amp; Hamzavi, R. (2014). Frequency and type of hedging devices used in the research articles of humanities, basic sciences and agriculture. </w:t>
      </w:r>
      <w:r>
        <w:rPr>
          <w:rFonts w:ascii="Georgia" w:cs="Georgia" w:eastAsia="Georgia" w:hAnsi="Georgia"/>
          <w:b w:val="0"/>
          <w:bCs w:val="0"/>
          <w:i w:val="1"/>
          <w:iCs w:val="1"/>
          <w:sz w:val="22"/>
          <w:szCs w:val="22"/>
          <w:rtl w:val="0"/>
        </w:rPr>
        <w:t xml:space="preserve">Procedia – Social and Behavioral Sciences, 136</w:t>
      </w:r>
      <w:r>
        <w:rPr>
          <w:rFonts w:ascii="Georgia" w:cs="Georgia" w:eastAsia="Georgia" w:hAnsi="Georgia"/>
          <w:b w:val="0"/>
          <w:bCs w:val="0"/>
          <w:i w:val="0"/>
          <w:iCs w:val="0"/>
          <w:sz w:val="22"/>
          <w:szCs w:val="22"/>
          <w:rtl w:val="0"/>
        </w:rPr>
        <w:t xml:space="preserve">, 70–74. https://doi.org/10.1016/j.sbspro.2014.05.290</w:t>
      </w:r>
      <w:r>
        <w:rPr>
          <w:rtl w:val="0"/>
        </w:rPr>
      </w:r>
    </w:p>
    <w:p w:rsidR="00000000" w:rsidDel="00000000" w:rsidP="00000000" w:rsidRDefault="00000000" w:rsidRPr="00000000" w14:paraId="00000187">
      <w:pPr>
        <w:spacing w:before="0" w:after="0" w:line="480" w:lineRule="auto"/>
        <w:ind w:left="720" w:hanging="720"/>
        <w:jc w:val="both"/>
        <w:rPr/>
      </w:pPr>
      <w:r>
        <w:rPr>
          <w:rFonts w:ascii="Georgia" w:cs="Georgia" w:eastAsia="Georgia" w:hAnsi="Georgia"/>
          <w:b w:val="0"/>
          <w:bCs w:val="0"/>
          <w:i w:val="0"/>
          <w:iCs w:val="0"/>
          <w:sz w:val="22"/>
          <w:szCs w:val="22"/>
          <w:rtl w:val="0"/>
        </w:rPr>
        <w:t xml:space="preserve">Biber, D., Conrad, S., &amp; Reppen, R. (1998). </w:t>
      </w:r>
      <w:r>
        <w:rPr>
          <w:rFonts w:ascii="Georgia" w:cs="Georgia" w:eastAsia="Georgia" w:hAnsi="Georgia"/>
          <w:b w:val="0"/>
          <w:bCs w:val="0"/>
          <w:i w:val="1"/>
          <w:iCs w:val="1"/>
          <w:sz w:val="22"/>
          <w:szCs w:val="22"/>
          <w:rtl w:val="0"/>
        </w:rPr>
        <w:t xml:space="preserve">Corpus linguistics: Investigating language structure and use</w:t>
      </w:r>
      <w:r>
        <w:rPr>
          <w:rFonts w:ascii="Georgia" w:cs="Georgia" w:eastAsia="Georgia" w:hAnsi="Georgia"/>
          <w:b w:val="0"/>
          <w:bCs w:val="0"/>
          <w:i w:val="0"/>
          <w:iCs w:val="0"/>
          <w:sz w:val="22"/>
          <w:szCs w:val="22"/>
          <w:rtl w:val="0"/>
        </w:rPr>
        <w:t xml:space="preserve">. Cambridge University Press.</w:t>
      </w:r>
      <w:r>
        <w:rPr>
          <w:rtl w:val="0"/>
        </w:rPr>
      </w:r>
    </w:p>
    <w:p w:rsidR="00000000" w:rsidDel="00000000" w:rsidP="00000000" w:rsidRDefault="00000000" w:rsidRPr="00000000" w14:paraId="00000188">
      <w:pPr>
        <w:spacing w:before="0" w:after="0" w:line="480" w:lineRule="auto"/>
        <w:ind w:left="720" w:hanging="720"/>
        <w:jc w:val="both"/>
        <w:rPr/>
      </w:pPr>
      <w:r>
        <w:rPr>
          <w:rFonts w:ascii="Georgia" w:cs="Georgia" w:eastAsia="Georgia" w:hAnsi="Georgia"/>
          <w:b w:val="0"/>
          <w:bCs w:val="0"/>
          <w:i w:val="0"/>
          <w:iCs w:val="0"/>
          <w:sz w:val="22"/>
          <w:szCs w:val="22"/>
          <w:rtl w:val="0"/>
        </w:rPr>
        <w:t xml:space="preserve">Demir, C. (2018). Hedging and academic writing: An analysis of lexical hedges. </w:t>
      </w:r>
      <w:r>
        <w:rPr>
          <w:rFonts w:ascii="Georgia" w:cs="Georgia" w:eastAsia="Georgia" w:hAnsi="Georgia"/>
          <w:b w:val="0"/>
          <w:bCs w:val="0"/>
          <w:i w:val="1"/>
          <w:iCs w:val="1"/>
          <w:sz w:val="22"/>
          <w:szCs w:val="22"/>
          <w:rtl w:val="0"/>
        </w:rPr>
        <w:t xml:space="preserve">Journal of Language and Linguistic Studies, 14</w:t>
      </w:r>
      <w:r>
        <w:rPr>
          <w:rFonts w:ascii="Georgia" w:cs="Georgia" w:eastAsia="Georgia" w:hAnsi="Georgia"/>
          <w:b w:val="0"/>
          <w:bCs w:val="0"/>
          <w:i w:val="0"/>
          <w:iCs w:val="0"/>
          <w:sz w:val="22"/>
          <w:szCs w:val="22"/>
          <w:rtl w:val="0"/>
        </w:rPr>
        <w:t xml:space="preserve">(4), 74–92. https://files.eric.ed.gov/fulltext/EJ1201945.pdf</w:t>
      </w:r>
      <w:r>
        <w:rPr>
          <w:rtl w:val="0"/>
        </w:rPr>
      </w:r>
    </w:p>
    <w:p w:rsidR="00000000" w:rsidDel="00000000" w:rsidP="00000000" w:rsidRDefault="00000000" w:rsidRPr="00000000" w14:paraId="00000189">
      <w:pPr>
        <w:spacing w:before="0" w:after="0" w:line="480" w:lineRule="auto"/>
        <w:ind w:left="720" w:hanging="720"/>
        <w:jc w:val="both"/>
        <w:rPr/>
      </w:pPr>
      <w:r>
        <w:rPr>
          <w:rFonts w:ascii="Georgia" w:cs="Georgia" w:eastAsia="Georgia" w:hAnsi="Georgia"/>
          <w:b w:val="0"/>
          <w:bCs w:val="0"/>
          <w:i w:val="0"/>
          <w:iCs w:val="0"/>
          <w:sz w:val="22"/>
          <w:szCs w:val="22"/>
          <w:rtl w:val="0"/>
        </w:rPr>
        <w:t xml:space="preserve">Escalona, S. L. (2025). Hedges and boosters in college essays: A study of linguistic modulation in student writing. </w:t>
      </w:r>
      <w:r>
        <w:rPr>
          <w:rFonts w:ascii="Georgia" w:cs="Georgia" w:eastAsia="Georgia" w:hAnsi="Georgia"/>
          <w:b w:val="0"/>
          <w:bCs w:val="0"/>
          <w:i w:val="1"/>
          <w:iCs w:val="1"/>
          <w:sz w:val="22"/>
          <w:szCs w:val="22"/>
          <w:rtl w:val="0"/>
        </w:rPr>
        <w:t xml:space="preserve">International Journal of English Literature and Social Sciences, 10</w:t>
      </w:r>
      <w:r>
        <w:rPr>
          <w:rFonts w:ascii="Georgia" w:cs="Georgia" w:eastAsia="Georgia" w:hAnsi="Georgia"/>
          <w:b w:val="0"/>
          <w:bCs w:val="0"/>
          <w:i w:val="0"/>
          <w:iCs w:val="0"/>
          <w:sz w:val="22"/>
          <w:szCs w:val="22"/>
          <w:rtl w:val="0"/>
        </w:rPr>
        <w:t xml:space="preserve">(1), 7–17. https://doi.org/10.22161/ijels.101.2</w:t>
      </w:r>
      <w:r>
        <w:rPr>
          <w:rtl w:val="0"/>
        </w:rPr>
      </w:r>
    </w:p>
    <w:p w:rsidR="00000000" w:rsidDel="00000000" w:rsidP="00000000" w:rsidRDefault="00000000" w:rsidRPr="00000000" w14:paraId="0000018A">
      <w:pPr>
        <w:spacing w:before="0" w:after="0" w:line="480" w:lineRule="auto"/>
        <w:ind w:left="720" w:hanging="720"/>
        <w:jc w:val="both"/>
        <w:rPr/>
      </w:pPr>
      <w:r>
        <w:rPr>
          <w:rFonts w:ascii="Georgia" w:cs="Georgia" w:eastAsia="Georgia" w:hAnsi="Georgia"/>
          <w:b w:val="0"/>
          <w:bCs w:val="0"/>
          <w:i w:val="0"/>
          <w:iCs w:val="0"/>
          <w:sz w:val="22"/>
          <w:szCs w:val="22"/>
          <w:rtl w:val="0"/>
        </w:rPr>
        <w:t xml:space="preserve">Hamidi, H., Najafi Sarem, S., &amp; Lotfi, A. H. (2025). Exploring hedging devices in scientific research papers: A content analysis study of the “Medical Journal of the Islamic Republic of Iran.” </w:t>
      </w:r>
      <w:r>
        <w:rPr>
          <w:rFonts w:ascii="Georgia" w:cs="Georgia" w:eastAsia="Georgia" w:hAnsi="Georgia"/>
          <w:b w:val="0"/>
          <w:bCs w:val="0"/>
          <w:i w:val="1"/>
          <w:iCs w:val="1"/>
          <w:sz w:val="22"/>
          <w:szCs w:val="22"/>
          <w:rtl w:val="0"/>
        </w:rPr>
        <w:t xml:space="preserve">Medical Journal of the Islamic Republic of Iran, 39</w:t>
      </w:r>
      <w:r>
        <w:rPr>
          <w:rFonts w:ascii="Georgia" w:cs="Georgia" w:eastAsia="Georgia" w:hAnsi="Georgia"/>
          <w:b w:val="0"/>
          <w:bCs w:val="0"/>
          <w:i w:val="0"/>
          <w:iCs w:val="0"/>
          <w:sz w:val="22"/>
          <w:szCs w:val="22"/>
          <w:rtl w:val="0"/>
        </w:rPr>
        <w:t xml:space="preserve">, 125. https://pmc.ncbi.nlm.nih.gov/articles/PMC12584097/</w:t>
      </w:r>
      <w:r>
        <w:rPr>
          <w:rtl w:val="0"/>
        </w:rPr>
      </w:r>
    </w:p>
    <w:p w:rsidR="00000000" w:rsidDel="00000000" w:rsidP="00000000" w:rsidRDefault="00000000" w:rsidRPr="00000000" w14:paraId="0000018B">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(1998). </w:t>
      </w:r>
      <w:r>
        <w:rPr>
          <w:rFonts w:ascii="Georgia" w:cs="Georgia" w:eastAsia="Georgia" w:hAnsi="Georgia"/>
          <w:b w:val="0"/>
          <w:bCs w:val="0"/>
          <w:i w:val="1"/>
          <w:iCs w:val="1"/>
          <w:sz w:val="22"/>
          <w:szCs w:val="22"/>
          <w:rtl w:val="0"/>
        </w:rPr>
        <w:t xml:space="preserve">Hedging in scientific research articles</w:t>
      </w:r>
      <w:r>
        <w:rPr>
          <w:rFonts w:ascii="Georgia" w:cs="Georgia" w:eastAsia="Georgia" w:hAnsi="Georgia"/>
          <w:b w:val="0"/>
          <w:bCs w:val="0"/>
          <w:i w:val="0"/>
          <w:iCs w:val="0"/>
          <w:sz w:val="22"/>
          <w:szCs w:val="22"/>
          <w:rtl w:val="0"/>
        </w:rPr>
        <w:t xml:space="preserve">. John Benjamins Publishing.</w:t>
      </w:r>
      <w:r>
        <w:rPr>
          <w:rtl w:val="0"/>
        </w:rPr>
      </w:r>
    </w:p>
    <w:p w:rsidR="00000000" w:rsidDel="00000000" w:rsidP="00000000" w:rsidRDefault="00000000" w:rsidRPr="00000000" w14:paraId="0000018C">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(2005). Stance and engagement: A model of interaction in academic discourse. </w:t>
      </w:r>
      <w:r>
        <w:rPr>
          <w:rFonts w:ascii="Georgia" w:cs="Georgia" w:eastAsia="Georgia" w:hAnsi="Georgia"/>
          <w:b w:val="0"/>
          <w:bCs w:val="0"/>
          <w:i w:val="1"/>
          <w:iCs w:val="1"/>
          <w:sz w:val="22"/>
          <w:szCs w:val="22"/>
          <w:rtl w:val="0"/>
        </w:rPr>
        <w:t xml:space="preserve">Discourse Studies, 7</w:t>
      </w:r>
      <w:r>
        <w:rPr>
          <w:rFonts w:ascii="Georgia" w:cs="Georgia" w:eastAsia="Georgia" w:hAnsi="Georgia"/>
          <w:b w:val="0"/>
          <w:bCs w:val="0"/>
          <w:i w:val="0"/>
          <w:iCs w:val="0"/>
          <w:sz w:val="22"/>
          <w:szCs w:val="22"/>
          <w:rtl w:val="0"/>
        </w:rPr>
        <w:t xml:space="preserve">(2), 173–192. https://doi.org/10.1177/1461445605050365</w:t>
      </w:r>
      <w:r>
        <w:rPr>
          <w:rtl w:val="0"/>
        </w:rPr>
      </w:r>
    </w:p>
    <w:p w:rsidR="00000000" w:rsidDel="00000000" w:rsidP="00000000" w:rsidRDefault="00000000" w:rsidRPr="00000000" w14:paraId="0000018D">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&amp; Milton, J. (1997). Qualification and certainty in L1 and L2 students’ writing. </w:t>
      </w:r>
      <w:r>
        <w:rPr>
          <w:rFonts w:ascii="Georgia" w:cs="Georgia" w:eastAsia="Georgia" w:hAnsi="Georgia"/>
          <w:b w:val="0"/>
          <w:bCs w:val="0"/>
          <w:i w:val="1"/>
          <w:iCs w:val="1"/>
          <w:sz w:val="22"/>
          <w:szCs w:val="22"/>
          <w:rtl w:val="0"/>
        </w:rPr>
        <w:t xml:space="preserve">Journal of Second Language Writing, 6</w:t>
      </w:r>
      <w:r>
        <w:rPr>
          <w:rFonts w:ascii="Georgia" w:cs="Georgia" w:eastAsia="Georgia" w:hAnsi="Georgia"/>
          <w:b w:val="0"/>
          <w:bCs w:val="0"/>
          <w:i w:val="0"/>
          <w:iCs w:val="0"/>
          <w:sz w:val="22"/>
          <w:szCs w:val="22"/>
          <w:rtl w:val="0"/>
        </w:rPr>
        <w:t xml:space="preserve">(2), 183–205. https://doi.org/10.1016/S1060-3743(97)90033-3</w:t>
      </w:r>
      <w:r>
        <w:rPr>
          <w:rtl w:val="0"/>
        </w:rPr>
      </w:r>
    </w:p>
    <w:p w:rsidR="00000000" w:rsidDel="00000000" w:rsidP="00000000" w:rsidRDefault="00000000" w:rsidRPr="00000000" w14:paraId="0000018E">
      <w:pPr>
        <w:spacing w:before="0" w:after="0" w:line="480" w:lineRule="auto"/>
        <w:ind w:left="720" w:hanging="720"/>
        <w:jc w:val="both"/>
        <w:rPr/>
      </w:pPr>
      <w:r>
        <w:rPr>
          <w:rFonts w:ascii="Georgia" w:cs="Georgia" w:eastAsia="Georgia" w:hAnsi="Georgia"/>
          <w:b w:val="0"/>
          <w:bCs w:val="0"/>
          <w:i w:val="0"/>
          <w:iCs w:val="0"/>
          <w:sz w:val="22"/>
          <w:szCs w:val="22"/>
          <w:rtl w:val="0"/>
        </w:rPr>
        <w:t xml:space="preserve">Imataki, N., &amp; Kobayashi, Y. (2024). Analyzing disciplinary variation in abstracts: Linguistic features across scientific and technical fields. </w:t>
      </w:r>
      <w:r>
        <w:rPr>
          <w:rFonts w:ascii="Georgia" w:cs="Georgia" w:eastAsia="Georgia" w:hAnsi="Georgia"/>
          <w:b w:val="0"/>
          <w:bCs w:val="0"/>
          <w:i w:val="1"/>
          <w:iCs w:val="1"/>
          <w:sz w:val="22"/>
          <w:szCs w:val="22"/>
          <w:rtl w:val="0"/>
        </w:rPr>
        <w:t xml:space="preserve">Linguistics and Literature Studies, 12</w:t>
      </w:r>
      <w:r>
        <w:rPr>
          <w:rFonts w:ascii="Georgia" w:cs="Georgia" w:eastAsia="Georgia" w:hAnsi="Georgia"/>
          <w:b w:val="0"/>
          <w:bCs w:val="0"/>
          <w:i w:val="0"/>
          <w:iCs w:val="0"/>
          <w:sz w:val="22"/>
          <w:szCs w:val="22"/>
          <w:rtl w:val="0"/>
        </w:rPr>
        <w:t xml:space="preserve">(3), 19–28. https://doi.org/10.13189/lls.2024.120301</w:t>
      </w:r>
      <w:r>
        <w:rPr>
          <w:rtl w:val="0"/>
        </w:rPr>
      </w:r>
    </w:p>
    <w:p w:rsidR="00000000" w:rsidDel="00000000" w:rsidP="00000000" w:rsidRDefault="00000000" w:rsidRPr="00000000" w14:paraId="0000018F">
      <w:pPr>
        <w:spacing w:before="0" w:after="0" w:line="480" w:lineRule="auto"/>
        <w:ind w:left="720" w:hanging="720"/>
        <w:jc w:val="both"/>
        <w:rPr/>
      </w:pPr>
      <w:r>
        <w:rPr>
          <w:rFonts w:ascii="Georgia" w:cs="Georgia" w:eastAsia="Georgia" w:hAnsi="Georgia"/>
          <w:b w:val="0"/>
          <w:bCs w:val="0"/>
          <w:i w:val="0"/>
          <w:iCs w:val="0"/>
          <w:sz w:val="22"/>
          <w:szCs w:val="22"/>
          <w:rtl w:val="0"/>
        </w:rPr>
        <w:t xml:space="preserve">Khunasathitchai, K., Sittironnarit, S., Sinturat, T., &amp; Kumdee, S. (2025). Move analysis and hedge use in the research paper abstracts of Thai EFL English-majored undergraduates. </w:t>
      </w:r>
      <w:r>
        <w:rPr>
          <w:rFonts w:ascii="Georgia" w:cs="Georgia" w:eastAsia="Georgia" w:hAnsi="Georgia"/>
          <w:b w:val="0"/>
          <w:bCs w:val="0"/>
          <w:i w:val="1"/>
          <w:iCs w:val="1"/>
          <w:sz w:val="22"/>
          <w:szCs w:val="22"/>
          <w:rtl w:val="0"/>
        </w:rPr>
        <w:t>rEFLections, 32(2), 951–973.</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90">
      <w:pPr>
        <w:spacing w:before="0" w:after="0" w:line="480" w:lineRule="auto"/>
        <w:ind w:left="720" w:hanging="720"/>
        <w:jc w:val="both"/>
        <w:rPr/>
      </w:pPr>
      <w:r>
        <w:rPr>
          <w:rFonts w:ascii="Georgia" w:cs="Georgia" w:eastAsia="Georgia" w:hAnsi="Georgia"/>
          <w:b w:val="0"/>
          <w:bCs w:val="0"/>
          <w:i w:val="0"/>
          <w:iCs w:val="0"/>
          <w:sz w:val="22"/>
          <w:szCs w:val="22"/>
          <w:rtl w:val="0"/>
        </w:rPr>
        <w:t>https://doi.org/10.61508/refl.v32i2.282512</w:t>
      </w:r>
      <w:r>
        <w:rPr>
          <w:rtl w:val="0"/>
        </w:rPr>
      </w:r>
    </w:p>
    <w:p w:rsidR="00000000" w:rsidDel="00000000" w:rsidP="00000000" w:rsidRDefault="00000000" w:rsidRPr="00000000" w14:paraId="00000192">
      <w:pPr>
        <w:spacing w:before="0" w:after="0" w:line="480" w:lineRule="auto"/>
        <w:ind w:left="720" w:hanging="720"/>
        <w:jc w:val="both"/>
        <w:rPr/>
      </w:pPr>
      <w:r>
        <w:rPr>
          <w:rFonts w:ascii="Georgia" w:cs="Georgia" w:eastAsia="Georgia" w:hAnsi="Georgia"/>
          <w:b w:val="0"/>
          <w:bCs w:val="0"/>
          <w:i w:val="0"/>
          <w:iCs w:val="0"/>
          <w:sz w:val="22"/>
          <w:szCs w:val="22"/>
          <w:rtl w:val="0"/>
        </w:rPr>
        <w:t xml:space="preserve">Landis, J. R., &amp; Koch, G. G. (1977). The measurement of observer agreement for categorical data. Biometrics, 33(1), 159–174. https://doi.org/10.2307/2529310</w:t>
      </w:r>
      <w:r>
        <w:rPr>
          <w:rtl w:val="0"/>
        </w:rPr>
      </w:r>
    </w:p>
    <w:p>
      <w:pPr>
        <w:spacing w:before="0" w:after="0" w:line="480" w:lineRule="auto"/>
        <w:ind w:left="720" w:hanging="720"/>
        <w:jc w:val="both"/>
        <w:rPr/>
      </w:pPr>
      <w:r>
        <w:rPr>
          <w:rFonts w:ascii="Georgia" w:cs="Georgia" w:eastAsia="Georgia" w:hAnsi="Georgia"/>
          <w:b w:val="0"/>
          <w:bCs w:val="0"/>
          <w:i w:val="0"/>
          <w:iCs w:val="0"/>
          <w:sz w:val="22"/>
          <w:szCs w:val="22"/>
          <w:rtl w:val="0"/>
        </w:rPr>
        <w:t xml:space="preserve">Lopez, R. M. C., Pedida, J. A., Alzate, L. J. A., &amp; Eustaquio, M. T. L. (2025). Language of caution and certainty: Writing proficiency in hedges and boosters in student essays. International Journal of Research and Innovation in Social Science, 9(11), 6176–6196. https://doi.org/10.47772/IJRISS.2025.91100485</w:t>
      </w:r>
    </w:p>
    <w:p w:rsidR="00000000" w:rsidDel="00000000" w:rsidP="00000000" w:rsidRDefault="00000000" w:rsidRPr="00000000" w14:paraId="00000193">
      <w:pPr>
        <w:spacing w:before="0" w:after="0" w:line="480" w:lineRule="auto"/>
        <w:ind w:left="720" w:hanging="720"/>
        <w:jc w:val="both"/>
        <w:rPr/>
      </w:pPr>
      <w:r>
        <w:rPr>
          <w:rFonts w:ascii="Georgia" w:cs="Georgia" w:eastAsia="Georgia" w:hAnsi="Georgia"/>
          <w:b w:val="0"/>
          <w:bCs w:val="0"/>
          <w:i w:val="0"/>
          <w:iCs w:val="0"/>
          <w:sz w:val="22"/>
          <w:szCs w:val="22"/>
          <w:rtl w:val="0"/>
        </w:rPr>
        <w:t xml:space="preserve">Mohammed, S. J. (2011). </w:t>
      </w:r>
      <w:r>
        <w:rPr>
          <w:rFonts w:ascii="Georgia" w:cs="Georgia" w:eastAsia="Georgia" w:hAnsi="Georgia"/>
          <w:b w:val="0"/>
          <w:bCs w:val="0"/>
          <w:i w:val="1"/>
          <w:iCs w:val="1"/>
          <w:sz w:val="22"/>
          <w:szCs w:val="22"/>
          <w:rtl w:val="0"/>
        </w:rPr>
        <w:t xml:space="preserve">Lexical hedges: A study of cultural and disciplinary variation in academic research articles</w:t>
      </w:r>
      <w:r>
        <w:rPr>
          <w:rFonts w:ascii="Georgia" w:cs="Georgia" w:eastAsia="Georgia" w:hAnsi="Georgia"/>
          <w:b w:val="0"/>
          <w:bCs w:val="0"/>
          <w:i w:val="0"/>
          <w:iCs w:val="0"/>
          <w:sz w:val="22"/>
          <w:szCs w:val="22"/>
          <w:rtl w:val="0"/>
        </w:rPr>
        <w:t xml:space="preserve"> [Master’s thesis, Universiti Teknologi MARA]. CORE. https://core.ac.uk/download/78277430.pdf</w:t>
      </w:r>
      <w:r>
        <w:rPr>
          <w:rtl w:val="0"/>
        </w:rPr>
      </w:r>
    </w:p>
    <w:p w:rsidR="00000000" w:rsidDel="00000000" w:rsidP="00000000" w:rsidRDefault="00000000" w:rsidRPr="00000000" w14:paraId="00000194">
      <w:pPr>
        <w:spacing w:before="0" w:after="0" w:line="480" w:lineRule="auto"/>
        <w:ind w:left="720" w:hanging="720"/>
        <w:jc w:val="both"/>
        <w:rPr/>
      </w:pPr>
      <w:r>
        <w:rPr>
          <w:rFonts w:ascii="Georgia" w:cs="Georgia" w:eastAsia="Georgia" w:hAnsi="Georgia"/>
          <w:b w:val="0"/>
          <w:bCs w:val="0"/>
          <w:i w:val="0"/>
          <w:iCs w:val="0"/>
          <w:sz w:val="22"/>
          <w:szCs w:val="22"/>
          <w:rtl w:val="0"/>
        </w:rPr>
        <w:t xml:space="preserve">Ningrum, S., Puspita, H., &amp; Mulyadi, A. I. (2024). Hedges and boosters in academic writing of ASEAN EFL learners. </w:t>
      </w:r>
      <w:r>
        <w:rPr>
          <w:rFonts w:ascii="Georgia" w:cs="Georgia" w:eastAsia="Georgia" w:hAnsi="Georgia"/>
          <w:b w:val="0"/>
          <w:bCs w:val="0"/>
          <w:i w:val="1"/>
          <w:iCs w:val="1"/>
          <w:sz w:val="22"/>
          <w:szCs w:val="22"/>
          <w:rtl w:val="0"/>
        </w:rPr>
        <w:t xml:space="preserve">Journal of English Education and Teaching, 8</w:t>
      </w:r>
      <w:r>
        <w:rPr>
          <w:rFonts w:ascii="Georgia" w:cs="Georgia" w:eastAsia="Georgia" w:hAnsi="Georgia"/>
          <w:b w:val="0"/>
          <w:bCs w:val="0"/>
          <w:i w:val="0"/>
          <w:iCs w:val="0"/>
          <w:sz w:val="22"/>
          <w:szCs w:val="22"/>
          <w:rtl w:val="0"/>
        </w:rPr>
        <w:t xml:space="preserve">(1), 202–218. https://doi.org/10.33369/jeet.8.1.202-218</w:t>
      </w:r>
      <w:r>
        <w:rPr>
          <w:rtl w:val="0"/>
        </w:rPr>
      </w:r>
    </w:p>
    <w:p w:rsidR="00000000" w:rsidDel="00000000" w:rsidP="00000000" w:rsidRDefault="00000000" w:rsidRPr="00000000" w14:paraId="00000195">
      <w:pPr>
        <w:spacing w:before="0" w:after="0" w:line="480" w:lineRule="auto"/>
        <w:ind w:left="720" w:hanging="720"/>
        <w:jc w:val="both"/>
        <w:rPr/>
      </w:pPr>
      <w:r>
        <w:rPr>
          <w:rFonts w:ascii="Georgia" w:cs="Georgia" w:eastAsia="Georgia" w:hAnsi="Georgia"/>
          <w:b w:val="0"/>
          <w:bCs w:val="0"/>
          <w:i w:val="0"/>
          <w:iCs w:val="0"/>
          <w:sz w:val="22"/>
          <w:szCs w:val="22"/>
          <w:rtl w:val="0"/>
        </w:rPr>
        <w:t xml:space="preserve">Petchkij, W. (2019). Explicit teaching of hedges: Bringing hedging in academic writing into the Thai EFL classroom. </w:t>
      </w:r>
      <w:r>
        <w:rPr>
          <w:rFonts w:ascii="Georgia" w:cs="Georgia" w:eastAsia="Georgia" w:hAnsi="Georgia"/>
          <w:b w:val="0"/>
          <w:bCs w:val="0"/>
          <w:i w:val="1"/>
          <w:iCs w:val="1"/>
          <w:sz w:val="22"/>
          <w:szCs w:val="22"/>
          <w:rtl w:val="0"/>
        </w:rPr>
        <w:t xml:space="preserve">Electronic Journal of Foreign Language Teaching, 16(1), 95–113. https://e-flt.nus.edu.sg/wp-content/uploads/2020/09/petchkij.pdf</w:t>
      </w:r>
      <w:r>
        <w:rPr>
          <w:rtl w:val="0"/>
        </w:rPr>
      </w:r>
    </w:p>
    <w:p w:rsidR="00000000" w:rsidDel="00000000" w:rsidP="00000000" w:rsidRDefault="00000000" w:rsidRPr="00000000" w14:paraId="00000196">
      <w:pPr>
        <w:spacing w:before="0" w:after="0" w:line="480" w:lineRule="auto"/>
        <w:ind w:left="720" w:hanging="720"/>
        <w:jc w:val="both"/>
        <w:rPr/>
      </w:pPr>
      <w:r>
        <w:rPr>
          <w:rFonts w:ascii="Georgia" w:cs="Georgia" w:eastAsia="Georgia" w:hAnsi="Georgia"/>
          <w:b w:val="0"/>
          <w:bCs w:val="0"/>
          <w:i w:val="0"/>
          <w:iCs w:val="0"/>
          <w:sz w:val="22"/>
          <w:szCs w:val="22"/>
          <w:rtl w:val="0"/>
        </w:rPr>
        <w:t xml:space="preserve">Salager-Meyer, F. (1994). Hedges and textual communicative function in medical English written discourse. </w:t>
      </w:r>
      <w:r>
        <w:rPr>
          <w:rFonts w:ascii="Georgia" w:cs="Georgia" w:eastAsia="Georgia" w:hAnsi="Georgia"/>
          <w:b w:val="0"/>
          <w:bCs w:val="0"/>
          <w:i w:val="1"/>
          <w:iCs w:val="1"/>
          <w:sz w:val="22"/>
          <w:szCs w:val="22"/>
          <w:rtl w:val="0"/>
        </w:rPr>
        <w:t xml:space="preserve">English for Specific Purposes, 13</w:t>
      </w:r>
      <w:r>
        <w:rPr>
          <w:rFonts w:ascii="Georgia" w:cs="Georgia" w:eastAsia="Georgia" w:hAnsi="Georgia"/>
          <w:b w:val="0"/>
          <w:bCs w:val="0"/>
          <w:i w:val="0"/>
          <w:iCs w:val="0"/>
          <w:sz w:val="22"/>
          <w:szCs w:val="22"/>
          <w:rtl w:val="0"/>
        </w:rPr>
        <w:t xml:space="preserve">(2), 149–170. https://doi.org/10.1016/0889-4906(94)90013-2</w:t>
      </w:r>
      <w:r>
        <w:rPr>
          <w:rtl w:val="0"/>
        </w:rPr>
      </w:r>
    </w:p>
    <w:p w:rsidR="00000000" w:rsidDel="00000000" w:rsidP="00000000" w:rsidRDefault="00000000" w:rsidRPr="00000000" w14:paraId="00000197">
      <w:pPr>
        <w:spacing w:before="0" w:after="0" w:line="480" w:lineRule="auto"/>
        <w:ind w:left="720" w:hanging="720"/>
        <w:jc w:val="both"/>
        <w:rPr/>
      </w:pPr>
      <w:r>
        <w:rPr>
          <w:rFonts w:ascii="Georgia" w:cs="Georgia" w:eastAsia="Georgia" w:hAnsi="Georgia"/>
          <w:b w:val="0"/>
          <w:bCs w:val="0"/>
          <w:i w:val="0"/>
          <w:iCs w:val="0"/>
          <w:sz w:val="22"/>
          <w:szCs w:val="22"/>
          <w:rtl w:val="0"/>
        </w:rPr>
        <w:t xml:space="preserve">Suratno, A., &amp; Aydawati, E. N. (2025). Hedging strategies in non-science theses: A corpus-based analysis of discussion sections. </w:t>
      </w:r>
      <w:r>
        <w:rPr>
          <w:rFonts w:ascii="Georgia" w:cs="Georgia" w:eastAsia="Georgia" w:hAnsi="Georgia"/>
          <w:b w:val="0"/>
          <w:bCs w:val="0"/>
          <w:i w:val="1"/>
          <w:iCs w:val="1"/>
          <w:sz w:val="22"/>
          <w:szCs w:val="22"/>
          <w:rtl w:val="0"/>
        </w:rPr>
        <w:t xml:space="preserve">ETERNAL (English Teaching Journal), 16</w:t>
      </w:r>
      <w:r>
        <w:rPr>
          <w:rFonts w:ascii="Georgia" w:cs="Georgia" w:eastAsia="Georgia" w:hAnsi="Georgia"/>
          <w:b w:val="0"/>
          <w:bCs w:val="0"/>
          <w:i w:val="0"/>
          <w:iCs w:val="0"/>
          <w:sz w:val="22"/>
          <w:szCs w:val="22"/>
          <w:rtl w:val="0"/>
        </w:rPr>
        <w:t xml:space="preserve">(1), 37–52. https://journal2.upgris.ac.id/index.php/eternal/article/view/1059</w:t>
      </w:r>
      <w:r>
        <w:rPr>
          <w:rtl w:val="0"/>
        </w:rPr>
      </w:r>
    </w:p>
    <w:p w:rsidR="00000000" w:rsidDel="00000000" w:rsidP="00000000" w:rsidRDefault="00000000" w:rsidRPr="00000000" w14:paraId="00000198">
      <w:pPr>
        <w:spacing w:before="0" w:after="0" w:line="480" w:lineRule="auto"/>
        <w:ind w:left="720" w:hanging="720"/>
        <w:jc w:val="both"/>
        <w:rPr/>
      </w:pPr>
      <w:r>
        <w:rPr>
          <w:rFonts w:ascii="Georgia" w:cs="Georgia" w:eastAsia="Georgia" w:hAnsi="Georgia"/>
          <w:b w:val="0"/>
          <w:bCs w:val="0"/>
          <w:i w:val="0"/>
          <w:iCs w:val="0"/>
          <w:sz w:val="22"/>
          <w:szCs w:val="22"/>
          <w:rtl w:val="0"/>
        </w:rPr>
        <w:t xml:space="preserve">Villanueva, V. S. (2014). Hedging devices in Philippine newspaper editorials. </w:t>
      </w:r>
      <w:r>
        <w:rPr>
          <w:rFonts w:ascii="Georgia" w:cs="Georgia" w:eastAsia="Georgia" w:hAnsi="Georgia"/>
          <w:b w:val="0"/>
          <w:bCs w:val="0"/>
          <w:i w:val="1"/>
          <w:iCs w:val="1"/>
          <w:sz w:val="22"/>
          <w:szCs w:val="22"/>
          <w:rtl w:val="0"/>
        </w:rPr>
        <w:t xml:space="preserve">Asian Journal of English Language Studies, 2</w:t>
      </w:r>
      <w:r>
        <w:rPr>
          <w:rFonts w:ascii="Georgia" w:cs="Georgia" w:eastAsia="Georgia" w:hAnsi="Georgia"/>
          <w:b w:val="0"/>
          <w:bCs w:val="0"/>
          <w:i w:val="0"/>
          <w:iCs w:val="0"/>
          <w:sz w:val="22"/>
          <w:szCs w:val="22"/>
          <w:rtl w:val="0"/>
        </w:rPr>
        <w:t xml:space="preserve">, 103–117. https://doi.org/10.59960/2.a5</w:t>
      </w:r>
      <w:r>
        <w:rPr>
          <w:rtl w:val="0"/>
        </w:rPr>
      </w:r>
    </w:p>
    <w:p w:rsidR="00000000" w:rsidDel="00000000" w:rsidP="00000000" w:rsidRDefault="00000000" w:rsidRPr="00000000" w14:paraId="00000199">
      <w:pPr>
        <w:spacing w:before="0" w:after="0" w:line="480" w:lineRule="auto"/>
        <w:ind w:left="720" w:hanging="720"/>
        <w:jc w:val="both"/>
        <w:rPr/>
        <w:sectPr>
          <w:headerReference r:id="rId15" w:type="default"/>
          <w:headerReference r:id="rId16"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Wang, X. (2022). </w:t>
      </w:r>
      <w:r>
        <w:rPr>
          <w:rFonts w:ascii="Georgia" w:cs="Georgia" w:eastAsia="Georgia" w:hAnsi="Georgia"/>
          <w:b w:val="0"/>
          <w:bCs w:val="0"/>
          <w:i w:val="1"/>
          <w:iCs w:val="1"/>
          <w:sz w:val="22"/>
          <w:szCs w:val="22"/>
          <w:rtl w:val="0"/>
        </w:rPr>
        <w:t xml:space="preserve">Hedging in academic writing: Cross-disciplinary comparisons in the Michigan Corpus of Upper-Level Student Papers (MICUSP)</w:t>
      </w:r>
      <w:r>
        <w:rPr>
          <w:rFonts w:ascii="Georgia" w:cs="Georgia" w:eastAsia="Georgia" w:hAnsi="Georgia"/>
          <w:b w:val="0"/>
          <w:bCs w:val="0"/>
          <w:i w:val="0"/>
          <w:iCs w:val="0"/>
          <w:sz w:val="22"/>
          <w:szCs w:val="22"/>
          <w:rtl w:val="0"/>
        </w:rPr>
        <w:t xml:space="preserve"> [Preprint]. OSF Preprints. https://osf.io/preprints/edarxiv/5xj27</w:t>
      </w:r>
      <w:r>
        <w:rPr>
          <w:rtl w:val="0"/>
        </w:rPr>
      </w:r>
    </w:p>
    <w:p w:rsidR="00000000" w:rsidDel="00000000" w:rsidP="00000000" w:rsidRDefault="00000000" w:rsidRPr="00000000" w14:paraId="0000019B">
      <w:pPr>
        <w:keepNext w:val="1"/>
        <w:keepLines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keepLines w:val="1"/>
        <w:spacing w:before="240" w:after="0" w:line="480" w:lineRule="auto"/>
        <w:jc w:val="left"/>
        <w:rPr/>
      </w:pPr>
      <w:r>
        <w:rPr>
          <w:rFonts w:ascii="Georgia" w:cs="Georgia" w:eastAsia="Georgia" w:hAnsi="Georgia"/>
          <w:b w:val="1"/>
          <w:bCs w:val="1"/>
          <w:sz w:val="24"/>
          <w:szCs w:val="24"/>
          <w:rtl w:val="0"/>
        </w:rPr>
        <w:t xml:space="preserve">APPENDIX A: HEDGING CODEBOOK</w:t>
      </w:r>
      <w:r>
        <w:rPr>
          <w:rtl w:val="0"/>
        </w:rPr>
      </w:r>
    </w:p>
    <w:p w:rsidR="00000000" w:rsidDel="00000000" w:rsidP="00000000" w:rsidRDefault="00000000" w:rsidRPr="00000000" w14:paraId="000001A0">
      <w:pPr>
        <w:spacing w:before="0" w:after="0" w:line="480" w:lineRule="auto"/>
        <w:jc w:val="both"/>
        <w:rPr/>
      </w:pPr>
      <w:r>
        <w:rPr/>
        <w:t xml:space="preserve">This appendix is the full coding protocol used for the study. It opens with a one-page quick-reference, then a one-page legend and coding-sheet section, then the operational layers, decision rules, false-positive categories, and recording conventions.</w:t>
      </w:r>
    </w:p>
    <w:p w:rsidR="00000000" w:rsidDel="00000000" w:rsidP="00000000" w:rsidRDefault="00000000" w:rsidRPr="00000000" w14:paraId="000001A2">
      <w:pPr>
        <w:keepNext w:val="1"/>
        <w:spacing w:before="120" w:after="120" w:line="240" w:lineRule="auto"/>
        <w:ind w:firstLine="720"/>
        <w:jc w:val="left"/>
        <w:rPr/>
      </w:pPr>
      <w:r>
        <w:rPr>
          <w:rFonts w:ascii="Georgia" w:cs="Georgia" w:eastAsia="Georgia" w:hAnsi="Georgia"/>
          <w:b w:val="1"/>
          <w:bCs w:val="1"/>
          <w:sz w:val="24"/>
          <w:szCs w:val="24"/>
          <w:rtl w:val="0"/>
        </w:rPr>
        <w:t xml:space="preserve">QUICK-REFERENCE</w:t>
      </w:r>
      <w:r>
        <w:rPr>
          <w:rtl w:val="0"/>
        </w:rPr>
      </w:r>
    </w:p>
    <w:p w:rsidR="00000000" w:rsidDel="00000000" w:rsidP="00000000" w:rsidRDefault="00000000" w:rsidRPr="00000000" w14:paraId="000001A3">
      <w:pPr>
        <w:spacing w:before="0" w:after="0" w:line="240"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rPr>
      </w:r>
    </w:p>
    <w:p w:rsidR="00000000" w:rsidDel="00000000" w:rsidP="00000000" w:rsidRDefault="00000000" w:rsidRPr="00000000" w14:paraId="000001A4">
      <w:pPr>
        <w:keepNext w:val="1"/>
        <w:spacing w:before="120" w:after="0" w:line="240" w:lineRule="auto"/>
        <w:jc w:val="left"/>
        <w:rPr/>
      </w:pPr>
      <w:r>
        <w:rPr>
          <w:rFonts w:ascii="Georgia" w:cs="Georgia" w:eastAsia="Georgia" w:hAnsi="Georgia"/>
          <w:b w:val="1"/>
          <w:bCs w:val="1"/>
          <w:sz w:val="24"/>
          <w:szCs w:val="24"/>
          <w:rtl w:val="0"/>
        </w:rPr>
        <w:t xml:space="preserve">Hedge types</w:t>
      </w:r>
      <w:r>
        <w:rPr>
          <w:rtl w:val="0"/>
        </w:rPr>
      </w:r>
    </w:p>
    <w:p w:rsidR="00000000" w:rsidDel="00000000" w:rsidP="00000000" w:rsidRDefault="00000000" w:rsidRPr="00000000" w14:paraId="000001A5">
      <w:pPr>
        <w:spacing w:before="0" w:after="0" w:line="240"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rPr>
      </w:r>
    </w:p>
    <w:p w:rsidR="00000000" w:rsidDel="00000000" w:rsidP="00000000" w:rsidRDefault="00000000" w:rsidRPr="00000000" w14:paraId="000001A6">
      <w:pPr>
        <w:spacing w:before="0" w:after="0" w:line="240"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certainty of a claim and pass the Working Test.</w:t>
      </w:r>
      <w:r>
        <w:rPr>
          <w:rtl w:val="0"/>
        </w:rPr>
      </w:r>
    </w:p>
    <w:p w:rsidR="00000000" w:rsidDel="00000000" w:rsidP="00000000" w:rsidRDefault="00000000" w:rsidRPr="00000000" w14:paraId="000001A7">
      <w:pPr>
        <w:spacing w:before="0" w:after="0" w:line="240"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rPr>
      </w:r>
    </w:p>
    <w:p w:rsidR="00000000" w:rsidDel="00000000" w:rsidP="00000000" w:rsidRDefault="00000000" w:rsidRPr="00000000" w14:paraId="000001A8">
      <w:pPr>
        <w:spacing w:before="0" w:after="0" w:line="240"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rPr>
      </w:r>
    </w:p>
    <w:p w:rsidR="00000000" w:rsidDel="00000000" w:rsidP="00000000" w:rsidRDefault="00000000" w:rsidRPr="00000000" w14:paraId="000001A9">
      <w:pPr>
        <w:keepNext w:val="1"/>
        <w:spacing w:before="120" w:after="0" w:line="240" w:lineRule="auto"/>
        <w:ind w:firstLine="720"/>
        <w:jc w:val="left"/>
        <w:rPr/>
      </w:pPr>
      <w:r>
        <w:rPr>
          <w:rFonts w:ascii="Georgia" w:cs="Georgia" w:eastAsia="Georgia" w:hAnsi="Georgia"/>
          <w:b w:val="1"/>
          <w:bCs w:val="1"/>
          <w:sz w:val="24"/>
          <w:szCs w:val="24"/>
          <w:rtl w:val="0"/>
        </w:rPr>
        <w:t xml:space="preserve">Hedge functions</w:t>
      </w:r>
      <w:r>
        <w:rPr>
          <w:rtl w:val="0"/>
        </w:rPr>
      </w:r>
    </w:p>
    <w:p w:rsidR="00000000" w:rsidDel="00000000" w:rsidP="00000000" w:rsidRDefault="00000000" w:rsidRPr="00000000" w14:paraId="000001AA">
      <w:pPr>
        <w:spacing w:before="0" w:after="0" w:line="240"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rPr>
      </w:r>
    </w:p>
    <w:p w:rsidR="00000000" w:rsidDel="00000000" w:rsidP="00000000" w:rsidRDefault="00000000" w:rsidRPr="00000000" w14:paraId="000001AB">
      <w:pPr>
        <w:spacing w:before="0" w:after="0" w:line="240"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rPr>
      </w:r>
    </w:p>
    <w:p w:rsidR="00000000" w:rsidDel="00000000" w:rsidP="00000000" w:rsidRDefault="00000000" w:rsidRPr="00000000" w14:paraId="000001AC">
      <w:pPr>
        <w:spacing w:before="0" w:after="0" w:line="240"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rPr>
      </w:r>
    </w:p>
    <w:p w:rsidR="00000000" w:rsidDel="00000000" w:rsidP="00000000" w:rsidRDefault="00000000" w:rsidRPr="00000000" w14:paraId="000001AD">
      <w:pPr>
        <w:keepNext w:val="1"/>
        <w:spacing w:before="120" w:after="0" w:line="240" w:lineRule="auto"/>
        <w:ind w:firstLine="720"/>
        <w:jc w:val="left"/>
        <w:rPr/>
      </w:pPr>
      <w:r>
        <w:rPr>
          <w:rFonts w:ascii="Georgia" w:cs="Georgia" w:eastAsia="Georgia" w:hAnsi="Georgia"/>
          <w:b w:val="1"/>
          <w:bCs w:val="1"/>
          <w:sz w:val="24"/>
          <w:szCs w:val="24"/>
          <w:rtl w:val="0"/>
        </w:rPr>
        <w:t xml:space="preserve">Core decision rules</w:t>
      </w:r>
      <w:r>
        <w:rPr>
          <w:rtl w:val="0"/>
        </w:rPr>
      </w:r>
    </w:p>
    <w:p w:rsidR="00000000" w:rsidDel="00000000" w:rsidP="00000000" w:rsidRDefault="00000000" w:rsidRPr="00000000" w14:paraId="000001AE">
      <w:pPr>
        <w:spacing w:before="0" w:after="0" w:line="240" w:lineRule="auto"/>
        <w:ind w:left="240" w:firstLine="720"/>
        <w:jc w:val="both"/>
        <w:rPr/>
      </w:pPr>
      <w:r>
        <w:rPr>
          <w:rFonts w:ascii="Georgia" w:cs="Cardo" w:eastAsia="Cardo" w:hAnsi="Georgia"/>
          <w:sz w:val="24"/>
          <w:szCs w:val="24"/>
          <w:rtl w:val="0"/>
          <w:i/>
          <w:iCs/>
        </w:rPr>
        <w:t xml:space="preserve">suggest / indicate → hedge when introducing a finding; not a hedge when introducing a recommendation.</w:t>
      </w:r>
      <w:r>
        <w:rPr>
          <w:rtl w:val="0"/>
          <w:rFonts w:ascii="Georgia" w:hAnsi="Georgia"/>
          <w:sz w:val="24"/>
          <w:szCs w:val="24"/>
          <w:i/>
          <w:iCs/>
        </w:rPr>
      </w:r>
    </w:p>
    <w:p w:rsidR="00000000" w:rsidDel="00000000" w:rsidP="00000000" w:rsidRDefault="00000000" w:rsidRPr="00000000" w14:paraId="000001AF">
      <w:pPr>
        <w:spacing w:before="0" w:after="0" w:line="240" w:lineRule="auto"/>
        <w:ind w:left="240" w:firstLine="720"/>
        <w:jc w:val="both"/>
        <w:rPr/>
      </w:pPr>
      <w:r>
        <w:rPr>
          <w:rFonts w:ascii="Georgia" w:cs="Cardo" w:eastAsia="Cardo" w:hAnsi="Georgia"/>
          <w:sz w:val="24"/>
          <w:szCs w:val="24"/>
          <w:rtl w:val="0"/>
          <w:i/>
          <w:iCs/>
        </w:rPr>
        <w:t xml:space="preserve">can / may → hedge when marking possibility; not a hedge when marking capability.</w:t>
      </w:r>
      <w:r>
        <w:rPr>
          <w:rtl w:val="0"/>
          <w:rFonts w:ascii="Georgia" w:hAnsi="Georgia"/>
          <w:sz w:val="24"/>
          <w:szCs w:val="24"/>
          <w:i/>
          <w:iCs/>
        </w:rPr>
      </w:r>
    </w:p>
    <w:p w:rsidR="00000000" w:rsidDel="00000000" w:rsidP="00000000" w:rsidRDefault="00000000" w:rsidRPr="00000000" w14:paraId="000001B0">
      <w:pPr>
        <w:spacing w:before="0" w:after="0" w:line="240" w:lineRule="auto"/>
        <w:ind w:left="240" w:firstLine="720"/>
        <w:jc w:val="both"/>
        <w:rPr/>
      </w:pPr>
      <w:r>
        <w:rPr>
          <w:rFonts w:ascii="Georgia" w:cs="Cardo" w:eastAsia="Cardo" w:hAnsi="Georgia"/>
          <w:sz w:val="24"/>
          <w:szCs w:val="24"/>
          <w:rtl w:val="0"/>
          <w:i/>
          <w:iCs/>
        </w:rPr>
        <w:t xml:space="preserve">generally / typically → hedge when limiting the scope of a claim; not a hedge when describing a procedural norm.</w:t>
      </w:r>
      <w:r>
        <w:rPr>
          <w:rtl w:val="0"/>
          <w:rFonts w:ascii="Georgia" w:hAnsi="Georgia"/>
          <w:sz w:val="24"/>
          <w:szCs w:val="24"/>
          <w:i/>
          <w:iCs/>
        </w:rPr>
      </w:r>
    </w:p>
    <w:p w:rsidR="00000000" w:rsidDel="00000000" w:rsidP="00000000" w:rsidRDefault="00000000" w:rsidRPr="00000000" w14:paraId="000001B1">
      <w:pPr>
        <w:spacing w:before="0" w:after="0" w:line="240" w:lineRule="auto"/>
        <w:ind w:left="240" w:firstLine="0"/>
        <w:jc w:val="both"/>
        <w:rPr/>
      </w:pPr>
      <w:r>
        <w:rPr>
          <w:rFonts w:ascii="Georgia" w:cs="Cardo" w:eastAsia="Cardo" w:hAnsi="Georgia"/>
          <w:sz w:val="24"/>
          <w:szCs w:val="24"/>
          <w:rtl w:val="0"/>
          <w:i/>
          <w:iCs/>
        </w:rPr>
        <w:t xml:space="preserve">appear / seem → hedge when expressing uncertainty about a result; not a hedge when pointing to location in a table or text.</w:t>
      </w:r>
      <w:r>
        <w:rPr>
          <w:rtl w:val="0"/>
          <w:rFonts w:ascii="Georgia" w:hAnsi="Georgia"/>
          <w:sz w:val="24"/>
          <w:szCs w:val="24"/>
          <w:i/>
          <w:iCs/>
        </w:rPr>
      </w:r>
    </w:p>
    <w:p w:rsidR="00000000" w:rsidDel="00000000" w:rsidP="00000000" w:rsidRDefault="00000000" w:rsidRPr="00000000" w14:paraId="000001B2">
      <w:pPr>
        <w:keepNext w:val="1"/>
        <w:spacing w:before="120" w:after="0" w:line="240" w:lineRule="auto"/>
        <w:ind w:firstLine="720"/>
        <w:jc w:val="left"/>
        <w:rPr/>
      </w:pPr>
      <w:r>
        <w:rPr>
          <w:rFonts w:ascii="Georgia" w:cs="Georgia" w:eastAsia="Georgia" w:hAnsi="Georgia"/>
          <w:b w:val="1"/>
          <w:bCs w:val="1"/>
          <w:sz w:val="24"/>
          <w:szCs w:val="24"/>
          <w:rtl w:val="0"/>
        </w:rPr>
        <w:t xml:space="preserve">Exclusion and Working Test</w:t>
      </w:r>
      <w:r>
        <w:rPr>
          <w:rtl w:val="0"/>
        </w:rPr>
      </w:r>
    </w:p>
    <w:p w:rsidR="00000000" w:rsidDel="00000000" w:rsidP="00000000" w:rsidRDefault="00000000" w:rsidRPr="00000000" w14:paraId="000001B3">
      <w:pPr>
        <w:spacing w:before="0" w:after="0" w:line="240" w:lineRule="auto"/>
        <w:jc w:val="both"/>
        <w:rPr/>
      </w:pPr>
      <w:r>
        <w:rPr>
          <w:rFonts w:ascii="Georgia" w:cs="Georgia" w:eastAsia="Georgia" w:hAnsi="Georgia"/>
          <w:b w:val="0"/>
          <w:bCs w:val="0"/>
          <w:sz w:val="22"/>
          <w:szCs w:val="22"/>
          <w:rtl w:val="0"/>
        </w:rPr>
        <w:t xml:space="preserve">Ability, future procedure, and necessity (must / should in procedural contexts) are never hedges. Working Test: if removing the device does not change how certain or tentative the claim is, it is not a hedge.</w:t>
      </w:r>
      <w:r>
        <w:rPr>
          <w:rtl w:val="0"/>
        </w:rPr>
      </w:r>
    </w:p>
    <w:p>
      <w:pPr/>
      <w:r>
        <w:br w:type="page"/>
      </w:r>
    </w:p>
    <w:p w:rsidR="00000000" w:rsidDel="00000000" w:rsidP="00000000" w:rsidRDefault="00000000" w:rsidRPr="00000000" w14:paraId="00000233">
      <w:pPr>
        <w:keepNext w:val="1"/>
        <w:spacing w:before="60" w:after="0" w:line="312"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35">
            <w:pPr>
              <w:spacing w:before="0" w:after="0" w:line="240"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40"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cantSplit w:val="1"/>
          <w:tblHeader w:val="0"/>
        </w:trPr>
        <w:tc>
          <w:tcPr/>
          <w:p w:rsidR="00000000" w:rsidDel="00000000" w:rsidP="00000000" w:rsidRDefault="00000000" w:rsidRPr="00000000" w14:paraId="00000237">
            <w:pPr>
              <w:spacing w:before="0" w:after="0" w:line="240"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40"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40"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40"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40"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40"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40"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cantSplit w:val="1"/>
          <w:tblHeader w:val="0"/>
        </w:trPr>
        <w:tc>
          <w:tcPr/>
          <w:p w:rsidR="00000000" w:rsidDel="00000000" w:rsidP="00000000" w:rsidRDefault="00000000" w:rsidRPr="00000000" w14:paraId="0000023E">
            <w:pPr>
              <w:spacing w:before="0" w:after="0" w:line="240" w:lineRule="auto"/>
              <w:jc w:val="both"/>
              <w:rPr/>
            </w:pPr>
            <w:r>
              <w:rPr>
                <w:rFonts w:ascii="Georgia" w:cs="Georgia" w:eastAsia="Georgia" w:hAnsi="Georgia"/>
                <w:b w:val="1"/>
                <w:bCs w:val="1"/>
                <w:i w:val="0"/>
                <w:iCs w:val="0"/>
                <w:color w:val="000000"/>
                <w:sz w:val="18"/>
                <w:szCs w:val="18"/>
                <w:rtl w:val="0"/>
              </w:rPr>
              <w:t xml:space="preserve">UNHEDGED SITES (Grey Highlight, Optional)</w:t>
            </w:r>
            <w:r>
              <w:rPr>
                <w:rtl w:val="0"/>
                <w:sz w:val="18"/>
                <w:szCs w:val="18"/>
                <w:rFonts w:ascii="Georgia" w:hAnsi="Georgia"/>
              </w:rPr>
            </w:r>
          </w:p>
          <w:p w:rsidR="00000000" w:rsidDel="00000000" w:rsidP="00000000" w:rsidRDefault="00000000" w:rsidRPr="00000000" w14:paraId="0000023F">
            <w:pPr>
              <w:spacing w:before="0" w:after="0" w:line="240" w:lineRule="auto"/>
              <w:jc w:val="both"/>
              <w:rPr/>
            </w:pPr>
            <w:r>
              <w:rPr>
                <w:rFonts w:ascii="Georgia" w:cs="Georgia" w:eastAsia="Georgia" w:hAnsi="Georgia"/>
                <w:sz w:val="18"/>
                <w:szCs w:val="18"/>
                <w:shd w:fill="bfbfbf" w:val="clear"/>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40"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40"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240" w:after="0" w:line="480"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w:t>
      </w:r>
      <w:r>
        <w:rPr>
          <w:rFonts w:ascii="Georgia" w:cs="Georgia" w:eastAsia="Georgia" w:hAnsi="Georgia"/>
          <w:b w:val="0"/>
          <w:bCs w:val="0"/>
          <w:i w:val="0"/>
          <w:iCs w:val="0"/>
          <w:color w:val="000000"/>
          <w:sz w:val="22"/>
          <w:szCs w:val="22"/>
          <w:rtl w:val="0"/>
        </w:rPr>
        <w:t xml:space="preserve">“The results </w:t>
      </w:r>
      <w:r>
        <w:rPr>
          <w:rFonts w:ascii="Georgia" w:cs="Georgia" w:eastAsia="Georgia" w:hAnsi="Georgia"/>
          <w:b w:val="1"/>
          <w:bCs w:val="1"/>
          <w:color w:val="ffffff"/>
          <w:sz w:val="22"/>
          <w:szCs w:val="22"/>
          <w:highlight w:val="red"/>
          <w:rtl w:val="0"/>
        </w:rPr>
        <w:t xml:space="preserve">suggested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ed7d31"/>
          <w:sz w:val="22"/>
          <w:szCs w:val="22"/>
          <w:rtl w:val="0"/>
        </w:rPr>
        <w:t xml:space="preserve">(EC)</w:t>
      </w:r>
      <w:r>
        <w:rPr>
          <w:color w:val="000000"/>
        </w:rPr>
        <w:t xml:space="preserve"> that C. longa extracts are </w:t>
      </w:r>
      <w:r>
        <w:rPr>
          <w:highlight w:val="red"/>
          <w:color w:val="ffffff"/>
        </w:rPr>
        <w:t>potential</w:t>
      </w:r>
      <w:r>
        <w:rPr>
          <w:color w:val="000000"/>
        </w:rPr>
        <w:t xml:space="preserve"> </w:t>
      </w:r>
      <w:r>
        <w:rPr>
          <w:color w:val="ed7d31"/>
        </w:rPr>
        <w:t>(EC)</w:t>
      </w:r>
      <w:r>
        <w:rPr>
          <w:color w:val="000000"/>
        </w:rPr>
        <w:t xml:space="preserve"> alternative stains. PCR </w:t>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0"/>
          <w:bCs w:val="0"/>
          <w:i w:val="0"/>
          <w:iCs w:val="0"/>
          <w:color w:val="808080"/>
          <w:sz w:val="22"/>
          <w:szCs w:val="22"/>
          <w:rtl w:val="0"/>
        </w:rPr>
        <w:t xml:space="preserve">(FP-Cap)</w:t>
      </w:r>
      <w:r>
        <w:rPr>
          <w:rFonts w:ascii="Georgia" w:cs="Georgia" w:eastAsia="Georgia" w:hAnsi="Georgia"/>
          <w:b w:val="0"/>
          <w:bCs w:val="0"/>
          <w:i w:val="0"/>
          <w:iCs w:val="0"/>
          <w:color w:val="000000"/>
          <w:sz w:val="22"/>
          <w:szCs w:val="22"/>
          <w:rtl w:val="0"/>
        </w:rPr>
        <w:t xml:space="preserve"> also detect low concentrations, while a prior line stated flatly that </w:t>
      </w:r>
      <w:r>
        <w:rPr>
          <w:rFonts w:ascii="Georgia" w:cs="Georgia" w:eastAsia="Georgia" w:hAnsi="Georgia"/>
          <w:b w:val="1"/>
          <w:bCs w:val="1"/>
          <w:strike w:val="0"/>
          <w:color w:val="000000"/>
          <w:sz w:val="22"/>
          <w:szCs w:val="22"/>
          <w:shd w:fill="bfbfbf" w:val="clear"/>
          <w:rtl w:val="0"/>
        </w:rPr>
        <w:t xml:space="preserve">Results showed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000000"/>
          <w:sz w:val="22"/>
          <w:szCs w:val="22"/>
          <w:rtl w:val="0"/>
        </w:rPr>
        <w:t xml:space="preserve">[R]</w:t>
      </w:r>
      <w:r>
        <w:rPr>
          <w:rFonts w:ascii="Georgia" w:cs="Georgia" w:eastAsia="Georgia" w:hAnsi="Georgia"/>
          <w:b w:val="0"/>
          <w:bCs w:val="0"/>
          <w:i w:val="0"/>
          <w:iCs w:val="0"/>
          <w:color w:val="000000"/>
          <w:sz w:val="22"/>
          <w:szCs w:val="22"/>
          <w:rtl w:val="0"/>
        </w:rPr>
        <w:t xml:space="preserve"> no infection.”</w:t>
      </w:r>
      <w:r>
        <w:rPr>
          <w:rtl w:val="0"/>
        </w:rPr>
      </w:r>
    </w:p>
    <w:p w:rsidR="00000000" w:rsidDel="00000000" w:rsidP="00000000" w:rsidRDefault="00000000" w:rsidRPr="00000000" w14:paraId="00000245">
      <w:pPr>
        <w:spacing w:before="0" w:after="0" w:line="312" w:lineRule="auto"/>
        <w:ind w:firstLine="720"/>
        <w:jc w:val="both"/>
        <w:rPr/>
      </w:pPr>
      <w:r>
        <w:rPr>
          <w:i w:val="1"/>
          <w:iCs w:val="1"/>
          <w:color w:val="404040"/>
          <w:rtl w:val="0"/>
        </w:rPr>
        <w:t xml:space="preserve"/>
      </w:r>
      <w:r>
        <w:rPr>
          <w:rFonts w:ascii="Georgia" w:cs="Georgia" w:eastAsia="Georgia" w:hAnsi="Georgia"/>
          <w:b w:val="0"/>
          <w:bCs w:val="0"/>
          <w:i w:val="1"/>
          <w:iCs w:val="1"/>
          <w:color w:val="404040"/>
          <w:sz w:val="22"/>
          <w:szCs w:val="22"/>
          <w:rtl w:val="0"/>
        </w:rPr>
        <w:t xml:space="preserve"> Colored highlights mark type. Colored text marks function. Grey highlights mark an unhedged site. Here, “potential” is retained as a Lexical hedge because it appears in a results/conclusion sentence and qualifies the claim about the extracts.</w:t>
      </w:r>
      <w:r>
        <w:rPr>
          <w:rtl w:val="0"/>
        </w:rPr>
      </w:r>
    </w:p>
    <w:p w:rsidR="00000000" w:rsidDel="00000000" w:rsidP="00000000" w:rsidRDefault="00000000" w:rsidRPr="00000000" w14:paraId="00000247">
      <w:pPr>
        <w:keepNext w:val="1"/>
        <w:spacing w:before="120" w:after="0" w:line="312"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49">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40"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40"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51">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Layer 3 data, tracked separately so it never inflates RQ2 counts.</w:t>
      </w:r>
      <w:r>
        <w:rPr>
          <w:rtl w:val="0"/>
        </w:rPr>
      </w:r>
    </w:p>
    <w:p w:rsidR="00000000" w:rsidDel="00000000" w:rsidP="00000000" w:rsidRDefault="00000000" w:rsidRPr="00000000" w14:paraId="0000025E">
      <w:pPr>
        <w:keepNext w:val="1"/>
        <w:keepLines w:val="1"/>
        <w:spacing w:before="120" w:after="0" w:line="312" w:lineRule="auto"/>
        <w:jc w:val="left"/>
        <w:rPr/>
      </w:pPr>
      <w:r>
        <w:rPr>
          <w:rFonts w:ascii="Georgia" w:cs="Georgia" w:eastAsia="Georgia" w:hAnsi="Georgia"/>
          <w:b w:val="0"/>
          <w:bCs w:val="0"/>
          <w:i w:val="1"/>
          <w:iCs w:val="1"/>
          <w:sz w:val="24"/>
          <w:szCs w:val="24"/>
          <w:rtl w:val="0"/>
        </w:rPr>
        <w:t xml:space="preserve">Optional Tab: Unhedged Assertion Sites</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5F">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40"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6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240" w:after="0" w:line="480"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6E">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40"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74">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pPr>
        <w:spacing w:line="312" w:lineRule="auto"/>
      </w:pPr>
      <w:r>
        <w:br w:type="page"/>
      </w:r>
    </w:p>
    <w:p w:rsidR="00000000" w:rsidDel="00000000" w:rsidP="00000000" w:rsidRDefault="00000000" w:rsidRPr="00000000" w14:paraId="000001B4">
      <w:pPr>
        <w:keepNext w:val="1"/>
        <w:pageBreakBefore w:val="1"/>
        <w:spacing w:before="240" w:after="0" w:line="48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firstLine="720"/>
        <w:jc w:val="both"/>
        <w:rPr/>
      </w:pPr>
      <w:r>
        <w:rPr>
          <w:rFonts w:ascii="Georgia" w:cs="Georgia" w:eastAsia="Georgia" w:hAnsi="Georgia"/>
          <w:b w:val="0"/>
          <w:bCs w:val="0"/>
          <w:sz w:val="22"/>
          <w:szCs w:val="22"/>
          <w:rtl w:val="0"/>
        </w:rPr>
        <w:t xml:space="preserve">This codebook turns Hyland’s (1998) framework into a practical coding scheme for the PSAU undergraduate thesis abstract corpus. </w:t>
      </w:r>
      <w:r>
        <w:rPr>
          <w:rtl w:val="0"/>
        </w:rPr>
      </w:r>
    </w:p>
    <w:p w:rsidR="00000000" w:rsidDel="00000000" w:rsidP="00000000" w:rsidRDefault="00000000" w:rsidRPr="00000000" w14:paraId="000001B8">
      <w:pPr>
        <w:keepNext w:val="1"/>
        <w:spacing w:before="120" w:after="0" w:line="360" w:lineRule="auto"/>
        <w:jc w:val="left"/>
        <w:rPr/>
      </w:pPr>
      <w:r>
        <w:rPr>
          <w:rFonts w:ascii="Georgia" w:cs="Georgia" w:eastAsia="Georgia" w:hAnsi="Georgia"/>
          <w:b w:val="1"/>
          <w:bCs w:val="1"/>
          <w:i w:val="0"/>
          <w:iCs w:val="0"/>
          <w:sz w:val="24"/>
          <w:szCs w:val="24"/>
          <w:rtl w:val="0"/>
        </w:rPr>
        <w:t xml:space="preserve">WORKING TEST</w:t>
      </w:r>
      <w:r>
        <w:rPr>
          <w:rtl w:val="0"/>
        </w:rPr>
      </w:r>
    </w:p>
    <w:p w:rsidR="00000000" w:rsidDel="00000000" w:rsidP="00000000" w:rsidRDefault="00000000" w:rsidRPr="00000000" w14:paraId="000001B9">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If removing a device does not change the epistemic weight of the claim (how certain or tentative it is), it is not a hedge. This includes phrases that only point to evidence for a claim already asserted elsewhere in the sentence (e.g., </w:t>
      </w:r>
      <w:r>
        <w:rPr>
          <w:rFonts w:ascii="Georgia" w:cs="Georgia" w:eastAsia="Georgia" w:hAnsi="Georgia"/>
          <w:b w:val="0"/>
          <w:bCs w:val="0"/>
          <w:i w:val="1"/>
          <w:iCs w:val="1"/>
          <w:color w:val="000000"/>
          <w:sz w:val="22"/>
          <w:szCs w:val="22"/>
          <w:rtl w:val="0"/>
        </w:rPr>
        <w:t xml:space="preserve">“as indicated by X”</w:t>
      </w:r>
      <w:r>
        <w:rPr>
          <w:rFonts w:ascii="Georgia" w:cs="Georgia" w:eastAsia="Georgia" w:hAnsi="Georgia"/>
          <w:b w:val="0"/>
          <w:bCs w:val="0"/>
          <w:i w:val="0"/>
          <w:iCs w:val="0"/>
          <w:color w:val="000000"/>
          <w:sz w:val="22"/>
          <w:szCs w:val="22"/>
          <w:rtl w:val="0"/>
        </w:rPr>
        <w:t xml:space="preserve">) rather than expressing uncertainty about the claim itself.</w:t>
      </w:r>
      <w:r>
        <w:rPr>
          <w:rtl w:val="0"/>
        </w:rPr>
      </w:r>
    </w:p>
    <w:p w:rsidR="00000000" w:rsidDel="00000000" w:rsidP="00000000" w:rsidRDefault="00000000" w:rsidRPr="00000000" w14:paraId="000001BA">
      <w:pPr>
        <w:spacing w:before="0" w:after="0" w:line="360" w:lineRule="auto"/>
        <w:ind w:firstLine="720"/>
        <w:jc w:val="both"/>
        <w:rPr/>
      </w:pPr>
      <w:r>
        <w:rPr>
          <w:rFonts w:ascii="Georgia" w:cs="Georgia" w:eastAsia="Georgia" w:hAnsi="Georgia"/>
          <w:b w:val="0"/>
          <w:bCs w:val="0"/>
          <w:i w:val="0"/>
          <w:iCs w:val="0"/>
          <w:sz w:val="22"/>
          <w:szCs w:val="22"/>
          <w:rtl w:val="0"/>
        </w:rPr>
        <w:t xml:space="preserve">Epistemic vs. deontic: epistemic language concerns how certain a claim is (what may or might be true). Deontic language concerns what should or needs to be done. Hedges are epistemic. Deontic language is never a hedge, whatever verb carries it. Example: “We suggest further research” is FP-Rec even though “suggest” is on the hedge list.</w:t>
      </w:r>
      <w:r>
        <w:rPr>
          <w:rtl w:val="0"/>
        </w:rPr>
      </w:r>
    </w:p>
    <w:p w:rsidR="00000000" w:rsidDel="00000000" w:rsidP="00000000" w:rsidRDefault="00000000" w:rsidRPr="00000000" w14:paraId="000001BB">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Do not code a word as a hedge just because it appears in the hedge list. Evaluate its function in the sentence: </w:t>
      </w:r>
      <w:r>
        <w:rPr>
          <w:rFonts w:ascii="Georgia" w:cs="Georgia" w:eastAsia="Georgia" w:hAnsi="Georgia"/>
          <w:b w:val="0"/>
          <w:bCs w:val="0"/>
          <w:i w:val="1"/>
          <w:iCs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is a hedge only for possibility, not capability; </w:t>
      </w:r>
      <w:r>
        <w:rPr>
          <w:rFonts w:ascii="Georgia" w:cs="Georgia" w:eastAsia="Georgia" w:hAnsi="Georgia"/>
          <w:b w:val="0"/>
          <w:bCs w:val="0"/>
          <w:i w:val="1"/>
          <w:iCs w:val="1"/>
          <w:color w:val="000000"/>
          <w:sz w:val="22"/>
          <w:szCs w:val="22"/>
          <w:rtl w:val="0"/>
        </w:rPr>
        <w:t xml:space="preserve">“suggest”</w:t>
      </w:r>
      <w:r>
        <w:rPr>
          <w:rFonts w:ascii="Georgia" w:cs="Georgia" w:eastAsia="Georgia" w:hAnsi="Georgia"/>
          <w:b w:val="0"/>
          <w:bCs w:val="0"/>
          <w:i w:val="0"/>
          <w:iCs w:val="0"/>
          <w:color w:val="000000"/>
          <w:sz w:val="22"/>
          <w:szCs w:val="22"/>
          <w:rtl w:val="0"/>
        </w:rPr>
        <w:t xml:space="preserve"> is a hedge only for a finding, not a recommendation.</w:t>
      </w:r>
      <w:r>
        <w:rPr>
          <w:rtl w:val="0"/>
        </w:rPr>
      </w:r>
    </w:p>
    <w:p w:rsidR="00000000" w:rsidDel="00000000" w:rsidP="00000000" w:rsidRDefault="00000000" w:rsidRPr="00000000" w14:paraId="000001BC">
      <w:pPr>
        <w:spacing w:before="0" w:after="0" w:line="360" w:lineRule="auto"/>
        <w:ind w:firstLine="720"/>
        <w:jc w:val="both"/>
        <w:rPr/>
      </w:pPr>
      <w:r>
        <w:rPr>
          <w:rFonts w:ascii="Georgia" w:cs="Georgia" w:eastAsia="Georgia" w:hAnsi="Georgia"/>
          <w:b w:val="0"/>
          <w:bCs w:val="0"/>
          <w:i w:val="0"/>
          <w:iCs w:val="0"/>
          <w:sz w:val="22"/>
          <w:szCs w:val="22"/>
          <w:rtl w:val="0"/>
        </w:rPr>
        <w:t xml:space="preserve">Coding order: read the sentence in full, check Decision Rules, apply the Working Test if unresolved, and log any case that still can’t be resolved in Coder Notes rather than guessing.</w:t>
      </w:r>
      <w:r>
        <w:rPr>
          <w:rtl w:val="0"/>
        </w:rPr>
      </w:r>
    </w:p>
    <w:p w:rsidR="00000000" w:rsidDel="00000000" w:rsidP="00000000" w:rsidRDefault="00000000" w:rsidRPr="00000000" w14:paraId="000001BE">
      <w:pPr>
        <w:keepNext w:val="1"/>
        <w:spacing w:before="120" w:after="0" w:line="360" w:lineRule="auto"/>
        <w:jc w:val="left"/>
        <w:rPr/>
      </w:pPr>
      <w:r>
        <w:rPr>
          <w:rFonts w:ascii="Georgia" w:cs="Georgia" w:eastAsia="Georgia" w:hAnsi="Georgia"/>
          <w:b w:val="1"/>
          <w:bCs w:val="1"/>
          <w:i w:val="0"/>
          <w:iCs w:val="0"/>
          <w:sz w:val="24"/>
          <w:szCs w:val="24"/>
          <w:rtl w:val="0"/>
        </w:rPr>
        <w:t xml:space="preserve">LAYER 1: HEDGE TYPE (PRIMARY COLORS)</w:t>
      </w:r>
      <w:r>
        <w:rPr>
          <w:rtl w:val="0"/>
        </w:rPr>
      </w:r>
    </w:p>
    <w:p w:rsidR="00000000" w:rsidDel="00000000" w:rsidP="00000000" w:rsidRDefault="00000000" w:rsidRPr="00000000" w14:paraId="000001BF">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val="1"/>
          <w:tblHeader w:val="0"/>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val="1"/>
          <w:tblHeader w:val="0"/>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val="1"/>
          <w:tblHeader w:val="0"/>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Exclusions (capability, recommendation, procedural norm, location) are covered under </w:t>
      </w:r>
      <w:r>
        <w:rPr>
          <w:rFonts w:ascii="Georgia" w:cs="Georgia" w:eastAsia="Georgia" w:hAnsi="Georgia"/>
          <w:b w:val="1"/>
          <w:bCs w:val="1"/>
          <w:i w:val="1"/>
          <w:iCs w:val="1"/>
          <w:color w:val="000000"/>
          <w:sz w:val="22"/>
          <w:szCs w:val="22"/>
          <w:rtl w:val="0"/>
        </w:rPr>
        <w:t xml:space="preserve">Decision Rules</w:t>
      </w:r>
      <w:r>
        <w:rPr>
          <w:rFonts w:ascii="Georgia" w:cs="Georgia" w:eastAsia="Georgia" w:hAnsi="Georgia"/>
          <w:b w:val="0"/>
          <w:bCs w:val="0"/>
          <w:i w:val="1"/>
          <w:iCs w:val="1"/>
          <w:color w:val="000000"/>
          <w:sz w:val="22"/>
          <w:szCs w:val="22"/>
          <w:rtl w:val="0"/>
        </w:rPr>
        <w:t xml:space="preserve">.</w:t>
      </w:r>
      <w:r>
        <w:rPr>
          <w:rtl w:val="0"/>
        </w:rPr>
      </w:r>
    </w:p>
    <w:p w:rsidR="00000000" w:rsidDel="00000000" w:rsidP="00000000" w:rsidRDefault="00000000" w:rsidRPr="00000000" w14:paraId="000001D6">
      <w:pPr>
        <w:keepNext w:val="1"/>
        <w:spacing w:before="120" w:after="0" w:line="360" w:lineRule="auto"/>
        <w:ind w:firstLine="720"/>
        <w:jc w:val="both"/>
        <w:rPr/>
      </w:pPr>
      <w:r>
        <w:rPr>
          <w:rFonts w:ascii="Georgia" w:cs="Georgia" w:eastAsia="Georgia" w:hAnsi="Georgia"/>
          <w:i w:val="0"/>
          <w:iCs w:val="0"/>
          <w:sz w:val="22"/>
          <w:szCs w:val="22"/>
          <w:rtl w:val="0"/>
        </w:rPr>
        <w:t>Extensions: “imply/implies/implying” functions as suggest. “Can be concluded / derived / stated / attributed to / seen as” is an inferential hedge, distinct from capability “can” (see Decision Rules). “Potentially” is an adverbial hedge. “Potential” naming the research object itself (e.g., “assessed the potential of X”) is not markable, it names a topic rather than qualifying a claim. Rule for “potential + noun” constructions: structural position is primary. If the phrase sits in an aim, methods, or pure topic-naming frame (naming the research object, e.g., “assessed the potential of X”), treat as topic-naming (FP-Gen). If it sits in a results or conclusion sentence qualifying a finding-claim, treat as a Lexical hedge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w:t>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tl w:val="0"/>
        </w:rPr>
      </w:r>
    </w:p>
    <w:p w:rsidR="00000000" w:rsidDel="00000000" w:rsidP="00000000" w:rsidRDefault="00000000" w:rsidRPr="00000000" w14:paraId="000001D8">
      <w:pPr>
        <w:keepNext w:val="1"/>
        <w:keepLines w:val="1"/>
        <w:spacing w:before="120" w:after="0" w:line="360" w:lineRule="auto"/>
        <w:jc w:val="left"/>
        <w:rPr/>
      </w:pPr>
      <w:r>
        <w:rPr>
          <w:rFonts w:ascii="Georgia" w:cs="Georgia" w:eastAsia="Georgia" w:hAnsi="Georgia"/>
          <w:b w:val="1"/>
          <w:bCs w:val="1"/>
          <w:i w:val="0"/>
          <w:iCs w:val="0"/>
          <w:sz w:val="24"/>
          <w:szCs w:val="24"/>
          <w:rtl w:val="0"/>
        </w:rPr>
        <w:t xml:space="preserve">LAYER 2: 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18"/>
                <w:szCs w:val="18"/>
                <w:rtl w:val="0"/>
              </w:rPr>
              <w:t xml:space="preserve">DO</w:t>
            </w:r>
            <w:r>
              <w:rPr>
                <w:rtl w:val="0"/>
                <w:sz w:val="18"/>
                <w:szCs w:val="18"/>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18"/>
                <w:szCs w:val="18"/>
                <w:rtl w:val="0"/>
              </w:rPr>
              <w:t xml:space="preserve">Discourse Organization</w:t>
            </w:r>
            <w:r>
              <w:rPr>
                <w:rtl w:val="0"/>
                <w:sz w:val="18"/>
                <w:szCs w:val="18"/>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18"/>
                <w:szCs w:val="18"/>
                <w:rtl w:val="0"/>
              </w:rPr>
              <w:t xml:space="preserve">Structures text or guides reader expectations.</w:t>
            </w:r>
            <w:r>
              <w:rPr>
                <w:rtl w:val="0"/>
                <w:sz w:val="18"/>
                <w:szCs w:val="18"/>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should be noted that</w:t>
            </w:r>
            <w:r>
              <w:rPr>
                <w:rFonts w:ascii="Georgia" w:cs="Georgia" w:eastAsia="Georgia" w:hAnsi="Georgia"/>
                <w:b w:val="0"/>
                <w:bCs w:val="0"/>
                <w:i w:val="0"/>
                <w:iCs w:val="0"/>
                <w:color w:val="000000"/>
                <w:sz w:val="18"/>
                <w:szCs w:val="18"/>
                <w:rtl w:val="0"/>
              </w:rPr>
              <w:t xml:space="preserve">. </w:t>
            </w: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bl>
    <w:p w:rsidR="00000000" w:rsidDel="00000000" w:rsidP="00000000" w:rsidRDefault="00000000" w:rsidRPr="00000000" w14:paraId="000001EA">
      <w:pPr>
        <w:keepNext w:val="1"/>
        <w:spacing w:before="240" w:after="0" w:line="48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val="1"/>
          <w:tblHeader w:val="0"/>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val="1"/>
          <w:tblHeader w:val="0"/>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val="1"/>
          <w:tblHeader w:val="0"/>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val="1"/>
          <w:tblHeader w:val="0"/>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val="1"/>
          <w:tblHeader w:val="0"/>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val="1"/>
          <w:tblHeader w:val="0"/>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val="1"/>
          <w:tblHeader w:val="0"/>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val="1"/>
          <w:tblHeader w:val="0"/>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240" w:after="0" w:line="48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val="1"/>
          <w:tblHeader w:val="0"/>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val="1"/>
          <w:tblHeader w:val="0"/>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val="1"/>
          <w:tblHeader w:val="0"/>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val="1"/>
          <w:tblHeader w:val="0"/>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240" w:after="0" w:line="480" w:lineRule="auto"/>
        <w:jc w:val="both"/>
        <w:rPr/>
      </w:pPr>
      <w:r>
        <w:rPr>
          <w:rFonts w:ascii="Georgia" w:cs="Georgia" w:eastAsia="Georgia" w:hAnsi="Georgia"/>
          <w:b w:val="1"/>
          <w:bCs w:val="1"/>
          <w:i w:val="0"/>
          <w:iCs w:val="0"/>
          <w:sz w:val="24"/>
          <w:szCs w:val="24"/>
          <w:rtl w:val="0"/>
        </w:rPr>
        <w:t xml:space="preserve">LAYER 3 (OPTIONAL): UNHEDGED ASSERTION SITES (NEUTRAL GREY)</w:t>
      </w:r>
      <w:r>
        <w:rPr>
          <w:rtl w:val="0"/>
        </w:rPr>
      </w:r>
    </w:p>
    <w:p w:rsidR="00000000" w:rsidDel="00000000" w:rsidP="00000000" w:rsidRDefault="00000000" w:rsidRPr="00000000" w14:paraId="00000221">
      <w:pPr>
        <w:keepNext w:val="1"/>
        <w:keepLines w:val="1"/>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Marks claim-bearing clauses stated directly and confidently without a hedge. Reverse test: if a hedge could be inserted without changing the facts, the clause is markable. Procedural statements are never markable. Example: </w:t>
      </w:r>
      <w:r>
        <w:rPr>
          <w:rFonts w:ascii="Georgia" w:cs="Georgia" w:eastAsia="Georgia" w:hAnsi="Georgia"/>
          <w:b w:val="0"/>
          <w:bCs w:val="0"/>
          <w:i w:val="1"/>
          <w:iCs w:val="1"/>
          <w:color w:val="000000"/>
          <w:sz w:val="22"/>
          <w:szCs w:val="22"/>
          <w:rtl w:val="0"/>
        </w:rPr>
        <w:t xml:space="preserve">“Results showed X”</w:t>
      </w:r>
      <w:r>
        <w:rPr>
          <w:rFonts w:ascii="Georgia" w:cs="Georgia" w:eastAsia="Georgia" w:hAnsi="Georgia"/>
          <w:b w:val="0"/>
          <w:bCs w:val="0"/>
          <w:i w:val="0"/>
          <w:iCs w:val="0"/>
          <w:color w:val="000000"/>
          <w:sz w:val="22"/>
          <w:szCs w:val="22"/>
          <w:rtl w:val="0"/>
        </w:rPr>
        <w:t xml:space="preserve"> could take a hedge (</w:t>
      </w:r>
      <w:r>
        <w:rPr>
          <w:rFonts w:ascii="Georgia" w:cs="Georgia" w:eastAsia="Georgia" w:hAnsi="Georgia"/>
          <w:b w:val="0"/>
          <w:bCs w:val="0"/>
          <w:i w:val="1"/>
          <w:iCs w:val="1"/>
          <w:color w:val="000000"/>
          <w:sz w:val="22"/>
          <w:szCs w:val="22"/>
          <w:rtl w:val="0"/>
        </w:rPr>
        <w:t xml:space="preserve">“Results suggested X”</w:t>
      </w:r>
      <w:r>
        <w:rPr>
          <w:rFonts w:ascii="Georgia" w:cs="Georgia" w:eastAsia="Georgia" w:hAnsi="Georgia"/>
          <w:b w:val="0"/>
          <w:bCs w:val="0"/>
          <w:i w:val="0"/>
          <w:iCs w:val="0"/>
          <w:color w:val="000000"/>
          <w:sz w:val="22"/>
          <w:szCs w:val="22"/>
          <w:rtl w:val="0"/>
        </w:rPr>
        <w:t xml:space="preserve">) without changing the underlying finding, so it is markable.</w:t>
      </w:r>
      <w:r>
        <w:rPr>
          <w:rtl w:val="0"/>
        </w:rPr>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18"/>
                <w:szCs w:val="18"/>
                <w:rtl w:val="0"/>
              </w:rPr>
              <w:t xml:space="preserve">Result Claim [R]</w:t>
            </w:r>
            <w:r>
              <w:rPr>
                <w:rtl w:val="0"/>
                <w:sz w:val="18"/>
                <w:szCs w:val="18"/>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18"/>
                <w:szCs w:val="18"/>
                <w:rtl w:val="0"/>
              </w:rPr>
              <w:t xml:space="preserve">A finding stated as settled fact.</w:t>
            </w:r>
            <w:r>
              <w:rPr>
                <w:rtl w:val="0"/>
                <w:sz w:val="18"/>
                <w:szCs w:val="18"/>
                <w:rFonts w:ascii="Georgia" w:hAnsi="Georgia"/>
              </w:rPr>
            </w:r>
          </w:p>
        </w:tc>
        <w:tc>
          <w:tcPr/>
          <w:p w:rsidR="00000000" w:rsidDel="00000000" w:rsidP="00000000" w:rsidRDefault="00000000" w:rsidRPr="00000000" w14:paraId="00000229">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000000"/>
                <w:sz w:val="18"/>
                <w:szCs w:val="18"/>
                <w:shd w:fill="bfbfbf" w:val="clear"/>
                <w:rtl w:val="0"/>
              </w:rPr>
              <w:t xml:space="preserve">Results showed</w:t>
            </w:r>
            <w:r>
              <w:rPr>
                <w:rFonts w:ascii="Georgia" w:cs="Georgia" w:eastAsia="Georgia" w:hAnsi="Georgia"/>
                <w:b w:val="0"/>
                <w:bCs w:val="0"/>
                <w:i w:val="0"/>
                <w:iCs w:val="0"/>
                <w:color w:val="000000"/>
                <w:sz w:val="18"/>
                <w:szCs w:val="18"/>
                <w:rtl w:val="0"/>
              </w:rPr>
              <w:t xml:space="preserve"> that all shrimp farms were free of the disease.”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18"/>
                <w:szCs w:val="18"/>
                <w:rtl w:val="0"/>
              </w:rPr>
              <w:t xml:space="preserve">Generalization [G]</w:t>
            </w:r>
            <w:r>
              <w:rPr>
                <w:rtl w:val="0"/>
                <w:sz w:val="18"/>
                <w:szCs w:val="18"/>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18"/>
                <w:szCs w:val="18"/>
                <w:rtl w:val="0"/>
              </w:rPr>
              <w:t xml:space="preserve">A broader inference beyond the data.</w:t>
            </w:r>
            <w:r>
              <w:rPr>
                <w:rtl w:val="0"/>
                <w:sz w:val="18"/>
                <w:szCs w:val="18"/>
                <w:rFonts w:ascii="Georgia" w:hAnsi="Georgia"/>
              </w:rPr>
            </w:r>
          </w:p>
        </w:tc>
        <w:tc>
          <w:tcPr/>
          <w:p w:rsidR="00000000" w:rsidDel="00000000" w:rsidP="00000000" w:rsidRDefault="00000000" w:rsidRPr="00000000" w14:paraId="0000022D">
            <w:pPr>
              <w:spacing w:before="0" w:after="0" w:line="240" w:lineRule="auto"/>
              <w:jc w:val="both"/>
              <w:rPr/>
            </w:pPr>
            <w:r>
              <w:rPr>
                <w:rFonts w:ascii="Georgia" w:cs="Georgia" w:eastAsia="Georgia" w:hAnsi="Georgia"/>
                <w:b w:val="0"/>
                <w:bCs w:val="0"/>
                <w:i w:val="0"/>
                <w:iCs w:val="0"/>
                <w:color w:val="000000"/>
                <w:sz w:val="18"/>
                <w:szCs w:val="18"/>
                <w:rtl w:val="0"/>
              </w:rPr>
              <w:t xml:space="preserve">“This led to the </w:t>
            </w:r>
            <w:r>
              <w:rPr>
                <w:rFonts w:ascii="Georgia" w:cs="Georgia" w:eastAsia="Georgia" w:hAnsi="Georgia"/>
                <w:b w:val="1"/>
                <w:bCs w:val="1"/>
                <w:strike w:val="0"/>
                <w:color w:val="000000"/>
                <w:sz w:val="18"/>
                <w:szCs w:val="18"/>
                <w:shd w:fill="bfbfbf" w:val="clear"/>
                <w:rtl w:val="0"/>
              </w:rPr>
              <w:t xml:space="preserve">conclusion that</w:t>
            </w:r>
            <w:r>
              <w:rPr>
                <w:rFonts w:ascii="Georgia" w:cs="Georgia" w:eastAsia="Georgia" w:hAnsi="Georgia"/>
                <w:b w:val="0"/>
                <w:bCs w:val="0"/>
                <w:i w:val="0"/>
                <w:iCs w:val="0"/>
                <w:color w:val="000000"/>
                <w:sz w:val="18"/>
                <w:szCs w:val="18"/>
                <w:rtl w:val="0"/>
              </w:rPr>
              <w:t xml:space="preserve"> all farms were free of it.”</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18"/>
                <w:szCs w:val="18"/>
                <w:rtl w:val="0"/>
              </w:rPr>
              <w:t xml:space="preserve">Causal Claim [C]</w:t>
            </w:r>
            <w:r>
              <w:rPr>
                <w:rtl w:val="0"/>
                <w:sz w:val="18"/>
                <w:szCs w:val="18"/>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18"/>
                <w:szCs w:val="18"/>
                <w:rtl w:val="0"/>
              </w:rPr>
              <w:t xml:space="preserve">A cause and effect link stated as established.</w:t>
            </w:r>
            <w:r>
              <w:rPr>
                <w:rtl w:val="0"/>
                <w:sz w:val="18"/>
                <w:szCs w:val="18"/>
                <w:rFonts w:ascii="Georgia" w:hAnsi="Georgia"/>
              </w:rPr>
            </w:r>
          </w:p>
        </w:tc>
        <w:tc>
          <w:tcPr/>
          <w:p w:rsidR="00000000" w:rsidDel="00000000" w:rsidP="00000000" w:rsidRDefault="00000000" w:rsidRPr="00000000" w14:paraId="00000231">
            <w:pPr>
              <w:spacing w:before="0" w:after="0" w:line="240" w:lineRule="auto"/>
              <w:jc w:val="both"/>
              <w:rPr/>
            </w:pPr>
            <w:r>
              <w:rPr>
                <w:rFonts w:ascii="Georgia" w:cs="Georgia" w:eastAsia="Georgia" w:hAnsi="Georgia"/>
                <w:b w:val="0"/>
                <w:bCs w:val="0"/>
                <w:i w:val="0"/>
                <w:iCs w:val="0"/>
                <w:color w:val="000000"/>
                <w:sz w:val="18"/>
                <w:szCs w:val="18"/>
                <w:rtl w:val="0"/>
              </w:rPr>
              <w:t xml:space="preserve">“Extracts </w:t>
            </w:r>
            <w:r>
              <w:rPr>
                <w:rFonts w:ascii="Georgia" w:cs="Georgia" w:eastAsia="Georgia" w:hAnsi="Georgia"/>
                <w:b w:val="1"/>
                <w:bCs w:val="1"/>
                <w:strike w:val="0"/>
                <w:color w:val="000000"/>
                <w:sz w:val="18"/>
                <w:szCs w:val="18"/>
                <w:shd w:fill="bfbfbf" w:val="clear"/>
                <w:rtl w:val="0"/>
              </w:rPr>
              <w:t xml:space="preserve">produce</w:t>
            </w:r>
            <w:r>
              <w:rPr>
                <w:rFonts w:ascii="Georgia" w:cs="Georgia" w:eastAsia="Georgia" w:hAnsi="Georgia"/>
                <w:b w:val="0"/>
                <w:bCs w:val="0"/>
                <w:i w:val="0"/>
                <w:iCs w:val="0"/>
                <w:color w:val="000000"/>
                <w:sz w:val="18"/>
                <w:szCs w:val="18"/>
                <w:rtl w:val="0"/>
              </w:rPr>
              <w:t xml:space="preserve"> comparable staining because they contain similar compounds.”</w:t>
            </w:r>
            <w:r>
              <w:rPr>
                <w:rtl w:val="0"/>
                <w:sz w:val="18"/>
                <w:szCs w:val="18"/>
                <w:rFonts w:ascii="Georgia" w:hAnsi="Georgia"/>
              </w:rPr>
            </w:r>
          </w:p>
        </w:tc>
      </w:tr>
    </w:tbl>
    <w:p w:rsidR="00000000" w:rsidDel="00000000" w:rsidP="00000000" w:rsidRDefault="00000000" w:rsidRPr="00000000" w14:paraId="0000027B">
      <w:pPr>
        <w:keepNext w:val="1"/>
        <w:keepLines w:val="1"/>
        <w:pageBreakBefore w:val="1"/>
        <w:spacing w:before="240" w:after="0" w:line="480" w:lineRule="auto"/>
        <w:jc w:val="left"/>
        <w:rPr/>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0" w:after="0" w:line="480" w:lineRule="auto"/>
        <w:jc w:val="left"/>
        <w:rPr/>
      </w:pPr>
      <w:r>
        <w:rPr>
          <w:i w:val="1"/>
          <w:iCs w:val="1"/>
          <w:sz w:val="24"/>
          <w:szCs w:val="24"/>
          <w:rtl w:val="0"/>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keepLines w:val="1"/>
        <w:spacing w:before="240" w:after="0" w:line="480" w:lineRule="auto"/>
        <w:jc w:val="left"/>
        <w:rPr/>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cs="Georgia" w:eastAsia="Georgia" w:hAnsi="Georgia"/>
          <w:b w:val="0"/>
          <w:bCs w:val="0"/>
          <w:i w:val="0"/>
          <w:iCs w:val="0"/>
          <w:sz w:val="22"/>
          <w:szCs w:val="22"/>
          <w:rtl w:val="0"/>
        </w:rPr>
        <w:t>This appendix presents the 60 abstracts with all coding marks applied. Layer 1 = color highlight on hedge tokens (blue = Modal Verbs, red = Lexical Hedges, yellow = Adverbial Hedges, green = Clause-Level Hedges). Layer 2 = function label in colored text (EC = orange, P = purple, DO = teal). Discourse connectors (Hence/Thus) are tagged (DO) even when not hedges. Layer 2 functions are only EC, P, and DO. False positives = strikethrough + reason code in grey (e.g. FP-Rec = recommendation, not a function). Layer 3 (unhedged sites) = grey highlight + [R]/[G]/[C] bracket.</w:t>
      </w:r>
      <w:r>
        <w:rPr>
          <w:rtl w:val="0"/>
        </w:rPr>
      </w:r>
    </w:p>
    <w:p w:rsidR="00000000" w:rsidDel="00000000" w:rsidP="00000000" w:rsidRDefault="00000000" w:rsidRPr="00000000" w14:paraId="0000029F">
      <w:pPr>
        <w:spacing w:before="0" w:after="0" w:line="480" w:lineRule="auto"/>
        <w:jc w:val="center"/>
        <w:rPr/>
      </w:pPr>
      <w:r>
        <w:rPr>
          <w:rFonts w:ascii="Georgia" w:cs="Georgia" w:eastAsia="Georgia" w:hAnsi="Georgia"/>
          <w:b w:val="1"/>
          <w:bCs w:val="1"/>
          <w:i w:val="0"/>
          <w:iCs w:val="0"/>
          <w:sz w:val="24"/>
          <w:szCs w:val="24"/>
          <w:rtl w:val="0"/>
        </w:rPr>
        <w:t xml:space="preserve">Biology (B1–B20)</w:t>
      </w:r>
      <w:r>
        <w:rPr>
          <w:rtl w:val="0"/>
        </w:rPr>
      </w:r>
    </w:p>
    <w:p w:rsidR="00000000" w:rsidDel="00000000" w:rsidP="00000000" w:rsidRDefault="00000000" w:rsidRPr="00000000" w14:paraId="000002A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cs="Georgia" w:eastAsia="Georgia" w:hAnsi="Georgia"/>
          <w:b w:val="0"/>
          <w:bCs w:val="0"/>
          <w:i w:val="0"/>
          <w:iCs w:val="0"/>
          <w:color w:val="000000"/>
          <w:sz w:val="22"/>
          <w:szCs w:val="22"/>
          <w:rtl w:val="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Bacillus subtilis BIOTECH 1679 was assessed under greenhouse conditions. Results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Caudex" w:cs="Caudex" w:eastAsia="Caudex" w:hAnsi="Caudex"/>
          <w:b w:val="0"/>
          <w:bCs w:val="0"/>
          <w:i w:val="0"/>
          <w:iCs w:val="0"/>
          <w:color w:val="000000"/>
          <w:sz w:val="22"/>
          <w:szCs w:val="22"/>
          <w:rtl w:val="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ungsuh" w:cs="Gungsuh" w:eastAsia="Gungsuh" w:hAnsi="Gungsuh"/>
          <w:b w:val="0"/>
          <w:bCs w:val="0"/>
          <w:i w:val="0"/>
          <w:iCs w:val="0"/>
          <w:color w:val="000000"/>
          <w:sz w:val="22"/>
          <w:szCs w:val="22"/>
          <w:rtl w:val="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 subtilis as a sustainable solution for managing onion supply demands, contributing to eco-friendly and alternative strategies in agriculture from local to global use.</w:t>
      </w:r>
      <w:r>
        <w:rPr>
          <w:rtl w:val="0"/>
        </w:rPr>
      </w:r>
    </w:p>
    <w:p w:rsidR="00000000" w:rsidDel="00000000" w:rsidP="00000000" w:rsidRDefault="00000000" w:rsidRPr="00000000" w14:paraId="000002A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at the Research Extension and Technology (RET) and Microbiology Laboratory of the College of Arts and Sciences of Pampanga State Agricultural University from November 2018 - January 2019. [Conducted 2018–2019; bound and catalogued 2023 per library records]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the zone of inhibition in the evaluation of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Balitbitan on Mueller Hinton Agar. The treatment evaluated as follows: T1 (Balitbitan extract in Methanol), T2 (Balitbitan extract in Hexane) and T3 (Balitbitan extract in DCM). The result of antibacterial testing </w:t>
      </w:r>
      <w:r>
        <w:rPr>
          <w:rFonts w:ascii="Georgia" w:cs="Georgia" w:eastAsia="Georgia" w:hAnsi="Georgia"/>
          <w:b w:val="1"/>
          <w:bCs w:val="1"/>
          <w:strike w:val="0"/>
          <w:color w:val="000000"/>
          <w:sz w:val="22"/>
          <w:szCs w:val="22"/>
          <w:shd w:fill="bfbfbf" w:val="clear"/>
          <w:rtl w:val="0"/>
        </w:rPr>
        <w:t xml:space="preserve">revealed that the Partial Fraction of Balitbitan (Cynometra ramiflora) did not possess the property to inhibit the growth of Staphylococcus aureus and Escherichia coli</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There was no zone of inhibition when treated with the partial fraction of Balitbitan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A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cs="Georgia" w:eastAsia="Georgia" w:hAnsi="Georgia"/>
          <w:b w:val="0"/>
          <w:bCs w:val="0"/>
          <w:i w:val="0"/>
          <w:iCs w:val="0"/>
          <w:color w:val="000000"/>
          <w:sz w:val="22"/>
          <w:szCs w:val="22"/>
          <w:rtl w:val="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unsafe conditions for water consumption for November and December. In addition, lead levels were within safe limits, while mercury levels in soil exceeded recommended guidelines, raising further concerns about environmental health.</w:t>
      </w:r>
      <w:r>
        <w:rPr>
          <w:rtl w:val="0"/>
        </w:rPr>
      </w:r>
    </w:p>
    <w:p w:rsidR="00000000" w:rsidDel="00000000" w:rsidP="00000000" w:rsidRDefault="00000000" w:rsidRPr="00000000" w14:paraId="000002A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acute toxicity and antitussive activity of Mimosa pudica (Makahiya) ethanolic extract in ICR mice to assess its safety and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Mimosa pudica has promising antitussive properties and a wide safety margin, supporting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accessible herbal alternative for managing cough. The presence of bioactive compounds such as flavonoids and saponins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its therapeutic effects. Further studies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confirm its long-term safety, refine dosing, and better understand its mechanisms of action.</w:t>
      </w:r>
      <w:r>
        <w:rPr>
          <w:rtl w:val="0"/>
        </w:rPr>
      </w:r>
    </w:p>
    <w:p w:rsidR="00000000" w:rsidDel="00000000" w:rsidP="00000000" w:rsidRDefault="00000000" w:rsidRPr="00000000" w14:paraId="000002A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cs="Georgia" w:eastAsia="Georgia" w:hAnsi="Georgia"/>
          <w:b w:val="0"/>
          <w:bCs w:val="0"/>
          <w:i w:val="0"/>
          <w:iCs w:val="0"/>
          <w:color w:val="000000"/>
          <w:sz w:val="22"/>
          <w:szCs w:val="22"/>
          <w:rtl w:val="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antioxidant and antibacterial sources.</w:t>
      </w:r>
      <w:r>
        <w:rPr>
          <w:rtl w:val="0"/>
        </w:rPr>
      </w:r>
    </w:p>
    <w:p w:rsidR="00000000" w:rsidDel="00000000" w:rsidP="00000000" w:rsidRDefault="00000000" w:rsidRPr="00000000" w14:paraId="000002A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would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w:t>
      </w:r>
      <w:r>
        <w:rPr>
          <w:rFonts w:ascii="Georgia" w:cs="Georgia" w:eastAsia="Georgia" w:hAnsi="Georgia"/>
          <w:b w:val="1"/>
          <w:bCs w:val="1"/>
          <w:strike w:val="0"/>
          <w:color w:val="000000"/>
          <w:sz w:val="22"/>
          <w:szCs w:val="22"/>
          <w:shd w:fill="bfbfbf" w:val="clear"/>
          <w:rtl w:val="0"/>
        </w:rPr>
        <w:t xml:space="preserve">revealed that the eco-bricks from all treatments were significantly damaged at the height of one meter, making them a weak, unsuitable material to use in building walkways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This study is essential for getting insights into eco-brick manufacture because the workability of SUPs and UCOs as raw materials is proven. </w:t>
      </w:r>
      <w:r>
        <w:rPr>
          <w:rFonts w:ascii="Georgia" w:cs="Georgia" w:eastAsia="Georgia" w:hAnsi="Georgia"/>
          <w:b w:val="1"/>
          <w:bCs w:val="1"/>
          <w:strike w:val="0"/>
          <w:color w:val="000000"/>
          <w:sz w:val="22"/>
          <w:szCs w:val="22"/>
          <w:shd w:fill="bfbfbf" w:val="clear"/>
          <w:rtl w:val="0"/>
        </w:rPr>
        <w:t xml:space="preserve">The research findings do not apply to buildings</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further research </w:t>
      </w:r>
      <w:r>
        <w:rPr>
          <w:rFonts w:ascii="Georgia" w:cs="Georgia" w:eastAsia="Georgia" w:hAnsi="Georgia"/>
          <w:b w:val="1"/>
          <w:bCs w:val="1"/>
          <w:strike w:val="1"/>
          <w:color w:val="000000"/>
          <w:sz w:val="22"/>
          <w:szCs w:val="22"/>
          <w:rtl w:val="0"/>
        </w:rPr>
        <w:t xml:space="preserve">will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aid in underlining the importance of optimizing the ingredient ratios to acquire desirable quality eco-bricks for sustainable construction applications.</w:t>
      </w:r>
      <w:r>
        <w:rPr>
          <w:rtl w:val="0"/>
        </w:rPr>
      </w:r>
    </w:p>
    <w:p w:rsidR="00000000" w:rsidDel="00000000" w:rsidP="00000000" w:rsidRDefault="00000000" w:rsidRPr="00000000" w14:paraId="000002A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generally</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w:t>
      </w:r>
      <w:r>
        <w:rPr>
          <w:color w:val="00B0F0"/>
        </w:rPr>
        <w:t>(DO)</w:t>
      </w:r>
      <w:r>
        <w:rPr>
          <w:rFonts w:ascii="Georgia" w:cs="Georgia" w:eastAsia="Georgia" w:hAnsi="Georgia"/>
          <w:b w:val="0"/>
          <w:bCs w:val="0"/>
          <w:i w:val="0"/>
          <w:iCs w:val="0"/>
          <w:color w:val="000000"/>
          <w:sz w:val="22"/>
          <w:szCs w:val="22"/>
          <w:rtl w:val="0"/>
        </w:rPr>
        <w:t xml:space="preserve">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cs="Georgia" w:eastAsia="Georgia" w:hAnsi="Georgia"/>
          <w:b w:val="1"/>
          <w:bCs w:val="1"/>
          <w:strike w:val="0"/>
          <w:color w:val="ffffff"/>
          <w:sz w:val="22"/>
          <w:szCs w:val="22"/>
          <w:highlight w:val="red"/>
          <w:rtl w:val="0"/>
        </w:rPr>
        <w:t xml:space="preserve">inferring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such observation was induced by the Z. talanai-infused nanozeolite pellet suspension.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biosynthesis of Z. talanai-infused nanozeolite pellets is feasible and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affect the overall development of D. rerio embryos.</w:t>
      </w:r>
      <w:r>
        <w:rPr>
          <w:rtl w:val="0"/>
        </w:rPr>
      </w:r>
    </w:p>
    <w:p w:rsidR="00000000" w:rsidDel="00000000" w:rsidP="00000000" w:rsidRDefault="00000000" w:rsidRPr="00000000" w14:paraId="000002B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cs="Georgia" w:eastAsia="Georgia" w:hAnsi="Georgia"/>
          <w:b w:val="0"/>
          <w:bCs w:val="0"/>
          <w:i w:val="0"/>
          <w:iCs w:val="0"/>
          <w:color w:val="000000"/>
          <w:sz w:val="22"/>
          <w:szCs w:val="22"/>
          <w:rtl w:val="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control bacterial infections caused by multi-drug resistant pathogens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considered.</w:t>
      </w:r>
      <w:r>
        <w:rPr>
          <w:rtl w:val="0"/>
        </w:rPr>
      </w:r>
    </w:p>
    <w:p w:rsidR="00000000" w:rsidDel="00000000" w:rsidP="00000000" w:rsidRDefault="00000000" w:rsidRPr="00000000" w14:paraId="000002B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cs="Georgia" w:eastAsia="Georgia" w:hAnsi="Georgia"/>
          <w:b w:val="0"/>
          <w:bCs w:val="0"/>
          <w:i w:val="0"/>
          <w:iCs w:val="0"/>
          <w:color w:val="000000"/>
          <w:sz w:val="22"/>
          <w:szCs w:val="22"/>
          <w:rtl w:val="0"/>
        </w:rPr>
        <w:t xml:space="preserve">This study aimed to identify the histoprotective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cs="Georgia" w:eastAsia="Georgia" w:hAnsi="Georgia"/>
          <w:b w:val="1"/>
          <w:bCs w:val="1"/>
          <w:strike w:val="0"/>
          <w:color w:val="000000"/>
          <w:sz w:val="22"/>
          <w:szCs w:val="22"/>
          <w:shd w:fill="bfbfbf" w:val="clear"/>
          <w:rtl w:val="0"/>
        </w:rPr>
        <w:t xml:space="preserve">All mice treated with pure leaf extract of Z. talanai, monosodium glutamate, distilled water and L-Taurine showed a significant effect (lesions / aberrations) to the cytoarchitecture of liver and kidney</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w:t>
      </w:r>
      <w:r>
        <w:rPr>
          <w:rFonts w:ascii="Georgia" w:cs="Georgia" w:eastAsia="Georgia" w:hAnsi="Georgia"/>
          <w:b w:val="1"/>
          <w:bCs w:val="1"/>
          <w:strike w:val="0"/>
          <w:color w:val="000000"/>
          <w:sz w:val="22"/>
          <w:szCs w:val="22"/>
          <w:shd w:fill="bfbfbf" w:val="clear"/>
          <w:rtl w:val="0"/>
        </w:rPr>
        <w:t xml:space="preserve">pure MSG and pure ethanolic leaf extract of Z. talanai caused the lesions / aberrations to the liver and kidney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Pr>
          <w:rtl w:val="0"/>
        </w:rPr>
      </w:r>
    </w:p>
    <w:p w:rsidR="00000000" w:rsidDel="00000000" w:rsidP="00000000" w:rsidRDefault="00000000" w:rsidRPr="00000000" w14:paraId="000002B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cs="Georgia" w:eastAsia="Georgia" w:hAnsi="Georgia"/>
          <w:b w:val="0"/>
          <w:bCs w:val="0"/>
          <w:i w:val="0"/>
          <w:iCs w:val="0"/>
          <w:color w:val="000000"/>
          <w:sz w:val="22"/>
          <w:szCs w:val="22"/>
          <w:rtl w:val="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researcher provided a policy proposal to focus on issues that needed to be addressed in the community. In terms of practices, proper waste management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established to avoid the high danger of heavy metal contamination. Certain local habits, such as waste dumping and other communal activities,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the spread of heavy metals. As a result, some community or local government-adopted measures are </w:t>
      </w:r>
      <w:r>
        <w:rPr>
          <w:rFonts w:ascii="Georgia" w:cs="Georgia" w:eastAsia="Georgia" w:hAnsi="Georgia"/>
          <w:b w:val="1"/>
          <w:bCs w:val="1"/>
          <w:strike w:val="1"/>
          <w:color w:val="000000"/>
          <w:sz w:val="22"/>
          <w:szCs w:val="22"/>
          <w:rtl w:val="0"/>
        </w:rPr>
        <w:t xml:space="preserve">proposed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These precautions are intended to prevent heavy metal contamination, particularly in the river system and the aquatic life in the area.</w:t>
      </w:r>
      <w:r>
        <w:rPr>
          <w:rtl w:val="0"/>
        </w:rPr>
      </w:r>
    </w:p>
    <w:p w:rsidR="00000000" w:rsidDel="00000000" w:rsidP="00000000" w:rsidRDefault="00000000" w:rsidRPr="00000000" w14:paraId="000002B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cs="Georgia" w:eastAsia="Georgia" w:hAnsi="Georgia"/>
          <w:b w:val="0"/>
          <w:bCs w:val="0"/>
          <w:i w:val="0"/>
          <w:iCs w:val="0"/>
          <w:color w:val="000000"/>
          <w:sz w:val="22"/>
          <w:szCs w:val="22"/>
          <w:rtl w:val="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investigate the presence of potential (EC)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[R].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provides a comprehensive approach for diagnosing and studying mycobacteriosis in cultivated milkfish [G], offering insights that can (FP-Cap) guide effective management strategies to control the spread of this disease in aquaculture system.</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cs="Georgia" w:eastAsia="Georgia" w:hAnsi="Georgia"/>
          <w:b w:val="0"/>
          <w:bCs w:val="0"/>
          <w:i w:val="0"/>
          <w:iCs w:val="0"/>
          <w:color w:val="000000"/>
          <w:sz w:val="22"/>
          <w:szCs w:val="22"/>
          <w:rtl w:val="0"/>
        </w:rPr>
        <w:t xml:space="preserve">Antimicrobial resistance is a major threat to public health worldwide, making infections difficult to treat. This problem calls for developing novel and alternative strategies to attenuate microorganisms without inducing resistance.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lactic acid bacteria (LAB) have emerged as a focal point due to their potential (EC)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[R].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 [R].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cs="Georgia" w:eastAsia="Georgia" w:hAnsi="Georgia"/>
          <w:b w:val="0"/>
          <w:bCs w:val="0"/>
          <w:i w:val="0"/>
          <w:iCs w:val="0"/>
          <w:color w:val="000000"/>
          <w:sz w:val="22"/>
          <w:szCs w:val="22"/>
          <w:rtl w:val="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its antibacterial property is dose dependent.</w:t>
      </w:r>
      <w:r>
        <w:rPr>
          <w:rtl w:val="0"/>
        </w:rPr>
      </w:r>
    </w:p>
    <w:p w:rsidR="00000000" w:rsidDel="00000000" w:rsidP="00000000" w:rsidRDefault="00000000" w:rsidRPr="00000000" w14:paraId="000002B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cs="Georgia" w:eastAsia="Georgia" w:hAnsi="Georgia"/>
          <w:b w:val="0"/>
          <w:bCs w:val="0"/>
          <w:i w:val="0"/>
          <w:iCs w:val="0"/>
          <w:color w:val="000000"/>
          <w:sz w:val="22"/>
          <w:szCs w:val="22"/>
          <w:rtl w:val="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All experiments were performed in triplicate and were presented as mean + SD. Statistical analysis performed using One-way, Univariate ANOVA, and Tukey’s HSD Multiple Comparison Test. The findings of this study showed and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extraction efficiency favors the highly polar solvents than the non-polar solvents in determining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E. indica against Colletotrichum spp.. The findings of this study attested that this specific type of grass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highlight w:val="yellow"/>
          <w:rtl w:val="0"/>
        </w:rPr>
        <w:t xml:space="preserve">potentially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used as biofungicide agent.</w:t>
      </w:r>
      <w:r>
        <w:rPr>
          <w:rtl w:val="0"/>
        </w:rPr>
      </w:r>
    </w:p>
    <w:p w:rsidR="00000000" w:rsidDel="00000000" w:rsidP="00000000" w:rsidRDefault="00000000" w:rsidRPr="00000000" w14:paraId="000002B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cs="Georgia" w:eastAsia="Georgia" w:hAnsi="Georgia"/>
          <w:b w:val="0"/>
          <w:bCs w:val="0"/>
          <w:i w:val="0"/>
          <w:iCs w:val="0"/>
          <w:color w:val="000000"/>
          <w:sz w:val="22"/>
          <w:szCs w:val="22"/>
          <w:rtl w:val="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variations in thermal stability among the different plate materials.</w:t>
      </w:r>
      <w:r>
        <w:rPr>
          <w:rtl w:val="0"/>
        </w:rPr>
      </w:r>
    </w:p>
    <w:p w:rsidR="00000000" w:rsidDel="00000000" w:rsidP="00000000" w:rsidRDefault="00000000" w:rsidRPr="00000000" w14:paraId="000002C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cs="Georgia" w:eastAsia="Georgia" w:hAnsi="Georgia"/>
          <w:b w:val="0"/>
          <w:bCs w:val="0"/>
          <w:i w:val="0"/>
          <w:iCs w:val="0"/>
          <w:color w:val="000000"/>
          <w:sz w:val="22"/>
          <w:szCs w:val="22"/>
          <w:rtl w:val="0"/>
        </w:rPr>
        <w:t xml:space="preserve">Methicillin-resistant Staphylococcus aureus (MRSA) is a common and potentially (EC) severe pathogen that has developed resistance to several types of antibiotics. MRSA bacteria can (FP-Cap) survive long on surfaces and objects, including second-hand clothing (SHC). The increasing popularity of SHC or “ukay-ukay” in the Philippines, coupled with potential (EC) public health concerns associated with transmitting pathogenic bacteria, emphasized this research’s need.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potential (EC) public health risks associated with the handling and purchasing of second-hand clothing. This study, therefore </w:t>
      </w:r>
      <w:r>
        <w:rPr>
          <w:color w:val="00B0F0"/>
        </w:rPr>
        <w:t>(DO)</w:t>
      </w:r>
      <w:r>
        <w:rPr>
          <w:rFonts w:ascii="Georgia" w:cs="Georgia" w:eastAsia="Georgia" w:hAnsi="Georgia"/>
          <w:b w:val="0"/>
          <w:bCs w:val="0"/>
          <w:i w:val="0"/>
          <w:iCs w:val="0"/>
          <w:color w:val="000000"/>
          <w:sz w:val="22"/>
          <w:szCs w:val="22"/>
          <w:rtl w:val="0"/>
        </w:rPr>
        <w:t xml:space="preserve">, underscores the need for proper precautions to mitigate the spread of potentially (EC) harmful bacteria, including MRSA, on second-hand clothing. It highlights the importance of raising awareness among both vendors and consumers about the potential (EC) health risks associated with these garments.</w:t>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C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cs="Georgia" w:eastAsia="Georgia" w:hAnsi="Georgia"/>
          <w:b w:val="0"/>
          <w:bCs w:val="0"/>
          <w:i w:val="0"/>
          <w:iCs w:val="0"/>
          <w:color w:val="000000"/>
          <w:sz w:val="22"/>
          <w:szCs w:val="22"/>
          <w:rtl w:val="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by the reduction of DPPH radicals. The TLC-MTT overlay assay showed that the extract exhibits antibacterial activity against S. aureus but was ineffective against E. coli,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selective antibacterial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The findings indicate that P. propinquum fruit ethanolic extract contains bioactive compounds with antioxidant and selective antibacterial properties. Further studies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focus on the isolation and characterization of its active compounds, their mechanisms of action, and their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pharmaceutical applications.</w:t>
      </w:r>
      <w:r>
        <w:rPr>
          <w:rtl w:val="0"/>
        </w:rPr>
      </w:r>
    </w:p>
    <w:p w:rsidR="00000000" w:rsidDel="00000000" w:rsidP="00000000" w:rsidRDefault="00000000" w:rsidRPr="00000000" w14:paraId="000002C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r>
        <w:rPr>
          <w:rtl w:val="0"/>
        </w:rPr>
      </w:r>
    </w:p>
    <w:p w:rsidR="00000000" w:rsidDel="00000000" w:rsidP="00000000" w:rsidRDefault="00000000" w:rsidRPr="00000000" w14:paraId="000002C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cs="Georgia" w:eastAsia="Georgia" w:hAnsi="Georgia"/>
          <w:b w:val="0"/>
          <w:bCs w:val="0"/>
          <w:i w:val="0"/>
          <w:iCs w:val="0"/>
          <w:color w:val="000000"/>
          <w:sz w:val="22"/>
          <w:szCs w:val="22"/>
          <w:rtl w:val="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sustainable planning and management approaches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local government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address the </w:t>
      </w:r>
      <w:r>
        <w:rPr>
          <w:rFonts w:ascii="Georgia" w:cs="Georgia" w:eastAsia="Georgia" w:hAnsi="Georgia"/>
          <w:b w:val="1"/>
          <w:bCs w:val="1"/>
          <w:strike w:val="0"/>
          <w:color w:val="ffffff"/>
          <w:sz w:val="22"/>
          <w:szCs w:val="22"/>
          <w:highlight w:val="red"/>
          <w:rtl w:val="0"/>
        </w:rPr>
        <w:t xml:space="preserve">possible</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negative impacts of tourism activities and manage the carrying capacity for sustainable tourism.</w:t>
      </w:r>
      <w:r>
        <w:rPr>
          <w:rtl w:val="0"/>
        </w:rPr>
      </w:r>
    </w:p>
    <w:p w:rsidR="00000000" w:rsidDel="00000000" w:rsidP="00000000" w:rsidRDefault="00000000" w:rsidRPr="00000000" w14:paraId="000002C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cs="Georgia" w:eastAsia="Georgia" w:hAnsi="Georgia"/>
          <w:b w:val="0"/>
          <w:bCs w:val="0"/>
          <w:i w:val="0"/>
          <w:iCs w:val="0"/>
          <w:color w:val="000000"/>
          <w:sz w:val="22"/>
          <w:szCs w:val="22"/>
          <w:rtl w:val="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aims to examine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study aimed to investigate the antagonistic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among the four isolates. The results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fungus had a similar impact on the growth of all four test variables.</w:t>
      </w:r>
      <w:r>
        <w:rPr>
          <w:rtl w:val="0"/>
        </w:rPr>
      </w:r>
    </w:p>
    <w:p w:rsidR="00000000" w:rsidDel="00000000" w:rsidP="00000000" w:rsidRDefault="00000000" w:rsidRPr="00000000" w14:paraId="000002CB">
      <w:pPr>
        <w:spacing w:before="0" w:after="0" w:line="480" w:lineRule="auto"/>
        <w:jc w:val="center"/>
        <w:rPr/>
      </w:pPr>
      <w:r>
        <w:rPr>
          <w:rFonts w:ascii="Georgia" w:cs="Georgia" w:eastAsia="Georgia" w:hAnsi="Georgia"/>
          <w:b w:val="1"/>
          <w:bCs w:val="1"/>
          <w:i w:val="0"/>
          <w:iCs w:val="0"/>
          <w:sz w:val="24"/>
          <w:szCs w:val="24"/>
          <w:rtl w:val="0"/>
        </w:rPr>
        <w:t xml:space="preserve">Veterinary Medicine (VM1–VM20)</w:t>
      </w:r>
      <w:r>
        <w:rPr>
          <w:rtl w:val="0"/>
        </w:rPr>
      </w:r>
    </w:p>
    <w:p w:rsidR="00000000" w:rsidDel="00000000" w:rsidP="00000000" w:rsidRDefault="00000000" w:rsidRPr="00000000" w14:paraId="000002C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cs="Georgia" w:eastAsia="Georgia" w:hAnsi="Georgia"/>
          <w:b w:val="1"/>
          <w:bCs w:val="1"/>
          <w:strike w:val="0"/>
          <w:color w:val="000000"/>
          <w:sz w:val="22"/>
          <w:szCs w:val="22"/>
          <w:shd w:fill="bfbfbf" w:val="clear"/>
          <w:rtl w:val="0"/>
        </w:rPr>
        <w:t xml:space="preserve">T1 revealed that Zoletil® alone is not enough to fully induce Stage 3 anesthesia in zebrafish</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w:t>
      </w:r>
      <w:r>
        <w:rPr>
          <w:rFonts w:ascii="Georgia" w:cs="Georgia" w:eastAsia="Georgia" w:hAnsi="Georgia"/>
          <w:b w:val="1"/>
          <w:bCs w:val="1"/>
          <w:strike w:val="0"/>
          <w:color w:val="000000"/>
          <w:sz w:val="22"/>
          <w:szCs w:val="22"/>
          <w:shd w:fill="bfbfbf" w:val="clear"/>
          <w:rtl w:val="0"/>
        </w:rPr>
        <w:t xml:space="preserve">when sodium bicarbonate was added, Stage 3 was achieved, while using only a small amount of Zoletil®</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it was also revealed that 40 g/L of sodium bicarbonate was sufficient to induce Stage 3 anesthesia in zebrafish.</w:t>
      </w:r>
      <w:r>
        <w:rPr>
          <w:rtl w:val="0"/>
        </w:rPr>
      </w:r>
    </w:p>
    <w:p w:rsidR="00000000" w:rsidDel="00000000" w:rsidP="00000000" w:rsidRDefault="00000000" w:rsidRPr="00000000" w14:paraId="000002C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engage in responsible and humane behavior toward stray animals. The results obtained served as baseline information for future endeavors in promoting responsible pet ownership for the welfare of companion animals and the community.</w:t>
      </w:r>
      <w:r>
        <w:rPr>
          <w:rtl w:val="0"/>
        </w:rPr>
      </w:r>
    </w:p>
    <w:p w:rsidR="00000000" w:rsidDel="00000000" w:rsidP="00000000" w:rsidRDefault="00000000" w:rsidRPr="00000000" w14:paraId="000002D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cs="Georgia" w:eastAsia="Georgia" w:hAnsi="Georgia"/>
          <w:b w:val="1"/>
          <w:bCs w:val="1"/>
          <w:strike w:val="0"/>
          <w:color w:val="000000"/>
          <w:sz w:val="22"/>
          <w:szCs w:val="22"/>
          <w:shd w:fill="bfbfbf" w:val="clear"/>
          <w:rtl w:val="0"/>
        </w:rPr>
        <w:t xml:space="preserve">the evaluation of retail egg vendors showed a major issue of reusing the egg trays across vendors which has been strongly linked to bacterial growth on eggshells, yolks and albumen, with p-values of 0.030 and 0.014, respectively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The findings </w:t>
      </w:r>
      <w:r>
        <w:rPr>
          <w:rFonts w:ascii="Georgia" w:cs="Georgia" w:eastAsia="Georgia" w:hAnsi="Georgia"/>
          <w:b w:val="1"/>
          <w:bCs w:val="1"/>
          <w:strike w:val="1"/>
          <w:color w:val="000000"/>
          <w:sz w:val="22"/>
          <w:szCs w:val="22"/>
          <w:rtl w:val="0"/>
        </w:rPr>
        <w:t xml:space="preserve">suggests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for assessment of knowledge, attitudes and practices of retail egg vendors about food safety and regular antimicrobial resistance monitoring on retail eggs.</w:t>
      </w:r>
      <w:r>
        <w:rPr>
          <w:rtl w:val="0"/>
        </w:rPr>
      </w:r>
    </w:p>
    <w:p w:rsidR="00000000" w:rsidDel="00000000" w:rsidP="00000000" w:rsidRDefault="00000000" w:rsidRPr="00000000" w14:paraId="000002D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cs="Georgia" w:eastAsia="Georgia" w:hAnsi="Georgia"/>
          <w:b w:val="0"/>
          <w:bCs w:val="0"/>
          <w:i w:val="0"/>
          <w:iCs w:val="0"/>
          <w:color w:val="000000"/>
          <w:sz w:val="22"/>
          <w:szCs w:val="22"/>
          <w:rtl w:val="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w:t>
      </w:r>
      <w:r>
        <w:rPr>
          <w:rFonts w:ascii="Georgia" w:cs="Georgia" w:eastAsia="Georgia" w:hAnsi="Georgia"/>
          <w:b w:val="1"/>
          <w:bCs w:val="1"/>
          <w:strike w:val="0"/>
          <w:color w:val="000000"/>
          <w:sz w:val="22"/>
          <w:szCs w:val="22"/>
          <w:shd w:fill="bfbfbf" w:val="clear"/>
          <w:rtl w:val="0"/>
        </w:rPr>
        <w:t xml:space="preserve">Results indicated that most vendors lacked formal training in milk-handling (100 %) did not use refrigeration, new bottles, or any preservation methods (100%)</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cs="Georgia" w:eastAsia="Georgia" w:hAnsi="Georgia"/>
          <w:b w:val="1"/>
          <w:bCs w:val="1"/>
          <w:strike w:val="1"/>
          <w:color w:val="000000"/>
          <w:sz w:val="22"/>
          <w:szCs w:val="22"/>
          <w:rtl w:val="0"/>
        </w:rPr>
        <w:t xml:space="preserve">suggest</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to improve training, regulation of milk storage, and the enforcement of labeling and sanitation standards to improve public health safety in the milk supply chain.</w:t>
      </w:r>
      <w:r>
        <w:rPr>
          <w:rtl w:val="0"/>
        </w:rPr>
      </w:r>
    </w:p>
    <w:p w:rsidR="00000000" w:rsidDel="00000000" w:rsidP="00000000" w:rsidRDefault="00000000" w:rsidRPr="00000000" w14:paraId="000002D4">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cs="Georgia" w:eastAsia="Georgia" w:hAnsi="Georgia"/>
          <w:b w:val="0"/>
          <w:bCs w:val="0"/>
          <w:i w:val="0"/>
          <w:iCs w:val="0"/>
          <w:color w:val="000000"/>
          <w:sz w:val="22"/>
          <w:szCs w:val="22"/>
          <w:rtl w:val="0"/>
        </w:rPr>
        <w:t xml:space="preserve">The prevalence of dermatophytosis and emerging drug resistance underscores the need for alternative therapeutic approaches, leading to a focus on medicinal plants. This study explores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M. calabura L. as a source of antifungal agents, warranting further investigation into its therapeutic applications and formulation for dermatophytosis management.</w:t>
      </w:r>
      <w:r>
        <w:rPr>
          <w:rtl w:val="0"/>
        </w:rPr>
      </w:r>
    </w:p>
    <w:p w:rsidR="00000000" w:rsidDel="00000000" w:rsidP="00000000" w:rsidRDefault="00000000" w:rsidRPr="00000000" w14:paraId="000002D6">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w:t>
      </w:r>
      <w:r>
        <w:rPr>
          <w:rFonts w:ascii="Georgia" w:cs="Georgia" w:eastAsia="Georgia" w:hAnsi="Georgia"/>
          <w:b w:val="1"/>
          <w:bCs w:val="1"/>
          <w:strike w:val="0"/>
          <w:color w:val="000000"/>
          <w:sz w:val="22"/>
          <w:szCs w:val="22"/>
          <w:shd w:fill="bfbfbf" w:val="clear"/>
          <w:rtl w:val="0"/>
        </w:rPr>
        <w:t xml:space="preserve">mean values for sodium between male and female NZW rabbits were found to be statistically different (p&lt;0.05)</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D8">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cs="Georgia" w:eastAsia="Georgia" w:hAnsi="Georgia"/>
          <w:b w:val="0"/>
          <w:bCs w:val="0"/>
          <w:i w:val="0"/>
          <w:iCs w:val="0"/>
          <w:color w:val="000000"/>
          <w:sz w:val="22"/>
          <w:szCs w:val="22"/>
          <w:rtl w:val="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no significant association between clinical signs and heartworm infection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collectively contribute to the effective management and prevention of heartworm disease in the local canine population. Further research with larger sample sizes and diverse populations is </w:t>
      </w:r>
      <w:r>
        <w:rPr>
          <w:rFonts w:ascii="Georgia" w:cs="Georgia" w:eastAsia="Georgia" w:hAnsi="Georgia"/>
          <w:b w:val="1"/>
          <w:bCs w:val="1"/>
          <w:strike w:val="1"/>
          <w:color w:val="000000"/>
          <w:sz w:val="22"/>
          <w:szCs w:val="22"/>
          <w:rtl w:val="0"/>
        </w:rPr>
        <w:t xml:space="preserve">needed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validate these findings and enhance our understanding of heartworm infection in the study area.</w:t>
      </w:r>
      <w:r>
        <w:rPr>
          <w:rtl w:val="0"/>
        </w:rPr>
      </w:r>
    </w:p>
    <w:p w:rsidR="00000000" w:rsidDel="00000000" w:rsidP="00000000" w:rsidRDefault="00000000" w:rsidRPr="00000000" w14:paraId="000002DA">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both plant extracts as natural anthelmintics, with tamarind showing superior efficacy. The study supports the development of plant-based alternatives for the sustainable control of fasciolosis in livestock.</w:t>
      </w:r>
      <w:r>
        <w:rPr>
          <w:rtl w:val="0"/>
        </w:rPr>
      </w:r>
    </w:p>
    <w:p w:rsidR="00000000" w:rsidDel="00000000" w:rsidP="00000000" w:rsidRDefault="00000000" w:rsidRPr="00000000" w14:paraId="000002D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cs="Georgia" w:eastAsia="Georgia" w:hAnsi="Georgia"/>
          <w:b w:val="0"/>
          <w:bCs w:val="0"/>
          <w:i w:val="0"/>
          <w:iCs w:val="0"/>
          <w:color w:val="000000"/>
          <w:sz w:val="22"/>
          <w:szCs w:val="22"/>
          <w:rtl w:val="0"/>
        </w:rPr>
        <w:t xml:space="preserve">Plastic pollution has been a long-standing environmental concern due to improper waste management. Its persistence in marine environments, particularly in the form of microplastics, posed potential (EC)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[R]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recommend (FP-Rec) removing the shrimp’s GIT during preparation to avoid ingestion, use fishing gear made from durable or natural materials, regularly maintain and replace worn equipment, and properly dispose of plastics instead of discarding them into water bodies.</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D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cs="Georgia" w:eastAsia="Georgia" w:hAnsi="Georgia"/>
          <w:b w:val="1"/>
          <w:bCs w:val="1"/>
          <w:strike w:val="0"/>
          <w:color w:val="000000"/>
          <w:sz w:val="22"/>
          <w:szCs w:val="22"/>
          <w:shd w:fill="bfbfbf" w:val="clear"/>
          <w:rtl w:val="0"/>
        </w:rPr>
        <w:t xml:space="preserve">In general, lung samples were sensitive to all antibiotics except amoxicillin-clavulanic acid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w:t>
      </w:r>
      <w:r>
        <w:rPr>
          <w:rFonts w:ascii="Georgia" w:cs="Georgia" w:eastAsia="Georgia" w:hAnsi="Georgia"/>
          <w:b w:val="1"/>
          <w:bCs w:val="1"/>
          <w:strike w:val="0"/>
          <w:color w:val="000000"/>
          <w:sz w:val="22"/>
          <w:szCs w:val="22"/>
          <w:shd w:fill="bfbfbf" w:val="clear"/>
          <w:rtl w:val="0"/>
        </w:rPr>
        <w:t xml:space="preserve">the data showed that lung and chick samples exhibited marked resistance</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Pr>
          <w:rtl w:val="0"/>
        </w:rPr>
      </w:r>
    </w:p>
    <w:p w:rsidR="00000000" w:rsidDel="00000000" w:rsidP="00000000" w:rsidRDefault="00000000" w:rsidRPr="00000000" w14:paraId="000002E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cs="Georgia" w:eastAsia="Georgia" w:hAnsi="Georgia"/>
          <w:b w:val="1"/>
          <w:bCs w:val="1"/>
          <w:strike w:val="1"/>
          <w:color w:val="000000"/>
          <w:sz w:val="22"/>
          <w:szCs w:val="22"/>
          <w:rtl w:val="0"/>
        </w:rPr>
        <w:t xml:space="preserve">possibility</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r>
        <w:rPr>
          <w:rtl w:val="0"/>
        </w:rPr>
      </w:r>
    </w:p>
    <w:p w:rsidR="00000000" w:rsidDel="00000000" w:rsidP="00000000" w:rsidRDefault="00000000" w:rsidRPr="00000000" w14:paraId="000002E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cs="Georgia" w:eastAsia="Georgia" w:hAnsi="Georgia"/>
          <w:b w:val="0"/>
          <w:bCs w:val="0"/>
          <w:i w:val="0"/>
          <w:iCs w:val="0"/>
          <w:color w:val="000000"/>
          <w:sz w:val="22"/>
          <w:szCs w:val="22"/>
          <w:rtl w:val="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effective in preventing, controlling, and managing the spread of ASF, but it is not conclusive that ASF is not present in the municipality of [REDACTED]. Nevertheless,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r>
        <w:rPr>
          <w:rtl w:val="0"/>
        </w:rPr>
      </w:r>
    </w:p>
    <w:p w:rsidR="00000000" w:rsidDel="00000000" w:rsidP="00000000" w:rsidRDefault="00000000" w:rsidRPr="00000000" w14:paraId="000002E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cs="Georgia" w:eastAsia="Georgia" w:hAnsi="Georgia"/>
          <w:b w:val="0"/>
          <w:bCs w:val="0"/>
          <w:i w:val="0"/>
          <w:iCs w:val="0"/>
          <w:color w:val="000000"/>
          <w:sz w:val="22"/>
          <w:szCs w:val="22"/>
          <w:rtl w:val="0"/>
        </w:rPr>
        <w:t xml:space="preserve">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w:t>
      </w:r>
      <w:r>
        <w:rPr>
          <w:rFonts w:ascii="Georgia" w:cs="Georgia" w:eastAsia="Georgia" w:hAnsi="Georgia"/>
          <w:b w:val="1"/>
          <w:bCs w:val="1"/>
          <w:strike w:val="0"/>
          <w:color w:val="000000"/>
          <w:sz w:val="22"/>
          <w:szCs w:val="22"/>
          <w:shd w:fill="bfbfbf" w:val="clear"/>
          <w:rtl w:val="0"/>
        </w:rPr>
        <w:t xml:space="preserve">the differences between the groups were statistically significant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There were variations in the mean antibody titer measured among samples.</w:t>
      </w:r>
      <w:r>
        <w:rPr>
          <w:rtl w:val="0"/>
        </w:rPr>
      </w:r>
    </w:p>
    <w:p w:rsidR="00000000" w:rsidDel="00000000" w:rsidP="00000000" w:rsidRDefault="00000000" w:rsidRPr="00000000" w14:paraId="000002E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cs="Georgia" w:eastAsia="Georgia" w:hAnsi="Georgia"/>
          <w:b w:val="0"/>
          <w:bCs w:val="0"/>
          <w:i w:val="0"/>
          <w:iCs w:val="0"/>
          <w:color w:val="000000"/>
          <w:sz w:val="22"/>
          <w:szCs w:val="22"/>
          <w:rtl w:val="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r>
        <w:rPr>
          <w:rtl w:val="0"/>
        </w:rPr>
      </w:r>
    </w:p>
    <w:p w:rsidR="00000000" w:rsidDel="00000000" w:rsidP="00000000" w:rsidRDefault="00000000" w:rsidRPr="00000000" w14:paraId="000002E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cs="Georgia" w:eastAsia="Georgia" w:hAnsi="Georgia"/>
          <w:b w:val="0"/>
          <w:bCs w:val="0"/>
          <w:i w:val="0"/>
          <w:iCs w:val="0"/>
          <w:color w:val="000000"/>
          <w:sz w:val="22"/>
          <w:szCs w:val="22"/>
          <w:rtl w:val="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r>
        <w:rPr>
          <w:rtl w:val="0"/>
        </w:rPr>
      </w:r>
    </w:p>
    <w:p w:rsidR="00000000" w:rsidDel="00000000" w:rsidP="00000000" w:rsidRDefault="00000000" w:rsidRPr="00000000" w14:paraId="000002E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cs="Georgia" w:eastAsia="Georgia" w:hAnsi="Georgia"/>
          <w:b w:val="0"/>
          <w:bCs w:val="0"/>
          <w:i w:val="0"/>
          <w:iCs w:val="0"/>
          <w:color w:val="000000"/>
          <w:sz w:val="22"/>
          <w:szCs w:val="22"/>
          <w:rtl w:val="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w:t>
      </w:r>
      <w:r>
        <w:rPr>
          <w:rFonts w:ascii="Georgia" w:cs="Georgia" w:eastAsia="Georgia" w:hAnsi="Georgia"/>
          <w:b w:val="1"/>
          <w:bCs w:val="1"/>
          <w:strike w:val="0"/>
          <w:color w:val="000000"/>
          <w:sz w:val="22"/>
          <w:szCs w:val="22"/>
          <w:shd w:fill="bfbfbf" w:val="clear"/>
          <w:rtl w:val="0"/>
        </w:rPr>
        <w:t xml:space="preserve">Results revealed that Treatment 3, with 40% concentration of Noni had the highest zone of inhibition in vitro with comparable antibacterial activity as the positive control against S. aureus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w:t>
      </w:r>
      <w:r>
        <w:rPr>
          <w:rFonts w:ascii="Georgia" w:cs="Georgia" w:eastAsia="Georgia" w:hAnsi="Georgia"/>
          <w:b w:val="1"/>
          <w:bCs w:val="1"/>
          <w:strike w:val="0"/>
          <w:color w:val="000000"/>
          <w:sz w:val="22"/>
          <w:szCs w:val="22"/>
          <w:shd w:fill="bfbfbf" w:val="clear"/>
          <w:rtl w:val="0"/>
        </w:rPr>
        <w:t xml:space="preserve">Noni fruit ethanolic extract with 40% concentration has antibacterial property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E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cs="Georgia" w:eastAsia="Georgia" w:hAnsi="Georgia"/>
          <w:b w:val="0"/>
          <w:bCs w:val="0"/>
          <w:i w:val="0"/>
          <w:iCs w:val="0"/>
          <w:color w:val="000000"/>
          <w:sz w:val="22"/>
          <w:szCs w:val="22"/>
          <w:rtl w:val="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butterfly pea flower aqueous extract in improving the survival of zebrafish at its larval stage.</w:t>
      </w:r>
      <w:r>
        <w:rPr>
          <w:rtl w:val="0"/>
        </w:rPr>
      </w:r>
    </w:p>
    <w:p w:rsidR="00000000" w:rsidDel="00000000" w:rsidP="00000000" w:rsidRDefault="00000000" w:rsidRPr="00000000" w14:paraId="000002E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cs="Georgia" w:eastAsia="Georgia" w:hAnsi="Georgia"/>
          <w:b w:val="0"/>
          <w:bCs w:val="0"/>
          <w:i w:val="0"/>
          <w:iCs w:val="0"/>
          <w:color w:val="000000"/>
          <w:sz w:val="22"/>
          <w:szCs w:val="22"/>
          <w:rtl w:val="0"/>
        </w:rPr>
        <w:t xml:space="preserve">Zoonotic diseases are a significant public health concern, particularly those that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cs="Georgia" w:eastAsia="Georgia" w:hAnsi="Georgia"/>
          <w:b w:val="1"/>
          <w:bCs w:val="1"/>
          <w:strike w:val="0"/>
          <w:color w:val="000000"/>
          <w:sz w:val="22"/>
          <w:szCs w:val="22"/>
          <w:shd w:fill="bfbfbf" w:val="clear"/>
          <w:rtl w:val="0"/>
        </w:rPr>
        <w:t xml:space="preserve">Participants exhibited an overall moderate level of awareness (mean=3.30) on canine zoonotic diseases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w:t>
      </w:r>
      <w:r>
        <w:rPr>
          <w:rFonts w:ascii="Georgia" w:cs="Georgia" w:eastAsia="Georgia" w:hAnsi="Georgia"/>
          <w:b w:val="1"/>
          <w:bCs w:val="1"/>
          <w:strike w:val="0"/>
          <w:color w:val="000000"/>
          <w:sz w:val="22"/>
          <w:szCs w:val="22"/>
          <w:shd w:fill="bfbfbf" w:val="clear"/>
          <w:rtl w:val="0"/>
        </w:rPr>
        <w:t xml:space="preserve">significant associations (p&lt;0.05) were found between awareness on zoonotic diseases and sociodemographic factors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such as educational attainment (p-value=0.000), monthly income (p-value=0.007), and years of dog ownership (p-value=0.001).</w:t>
      </w:r>
      <w:r>
        <w:rPr>
          <w:rtl w:val="0"/>
        </w:rPr>
      </w:r>
    </w:p>
    <w:p w:rsidR="00000000" w:rsidDel="00000000" w:rsidP="00000000" w:rsidRDefault="00000000" w:rsidRPr="00000000" w14:paraId="000002F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cs="Georgia" w:eastAsia="Georgia" w:hAnsi="Georgia"/>
          <w:b w:val="0"/>
          <w:bCs w:val="0"/>
          <w:i w:val="0"/>
          <w:iCs w:val="0"/>
          <w:color w:val="000000"/>
          <w:sz w:val="22"/>
          <w:szCs w:val="22"/>
          <w:rtl w:val="0"/>
        </w:rPr>
        <w:t xml:space="preserve">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r>
        <w:rPr>
          <w:rtl w:val="0"/>
        </w:rPr>
      </w:r>
    </w:p>
    <w:p w:rsidR="00000000" w:rsidDel="00000000" w:rsidP="00000000" w:rsidRDefault="00000000" w:rsidRPr="00000000" w14:paraId="000002F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w:t>
      </w:r>
      <w:r>
        <w:rPr>
          <w:rFonts w:ascii="Georgia" w:cs="Georgia" w:eastAsia="Georgia" w:hAnsi="Georgia"/>
          <w:b w:val="1"/>
          <w:bCs w:val="1"/>
          <w:strike w:val="0"/>
          <w:color w:val="000000"/>
          <w:sz w:val="22"/>
          <w:szCs w:val="22"/>
          <w:shd w:fill="bfbfbf" w:val="clear"/>
          <w:rtl w:val="0"/>
        </w:rPr>
        <w:t xml:space="preserve">The results indicated that most respondents demonstrated high knowledge about rabies (69.3%), particularly regarding transmission and prevention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w:t>
      </w:r>
      <w:r>
        <w:rPr>
          <w:rFonts w:ascii="Georgia" w:cs="Georgia" w:eastAsia="Georgia" w:hAnsi="Georgia"/>
          <w:b w:val="1"/>
          <w:bCs w:val="1"/>
          <w:strike w:val="0"/>
          <w:color w:val="000000"/>
          <w:sz w:val="22"/>
          <w:szCs w:val="22"/>
          <w:shd w:fill="bfbfbf" w:val="clear"/>
          <w:rtl w:val="0"/>
        </w:rPr>
        <w:t xml:space="preserve">Multiple linear regression analysis confirmed interrelationships among KAP dimensions, revealing that higher knowledge scores significantly predicted better preventive behaviors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mitigate rabies transmission risks. These insights align with broader efforts toward rabies elimination in the Philippines by 2030, emphasizing the importance of addressing localized KAP gaps through evidence-based interventions.</w:t>
      </w:r>
      <w:r>
        <w:rPr>
          <w:rtl w:val="0"/>
        </w:rPr>
      </w:r>
    </w:p>
    <w:p w:rsidR="00000000" w:rsidDel="00000000" w:rsidP="00000000" w:rsidRDefault="00000000" w:rsidRPr="00000000" w14:paraId="000002F7">
      <w:pPr>
        <w:spacing w:before="0" w:after="0" w:line="480" w:lineRule="auto"/>
        <w:jc w:val="center"/>
        <w:rPr/>
      </w:pPr>
      <w:r>
        <w:rPr>
          <w:rFonts w:ascii="Georgia" w:cs="Georgia" w:eastAsia="Georgia" w:hAnsi="Georgia"/>
          <w:b w:val="1"/>
          <w:bCs w:val="1"/>
          <w:i w:val="0"/>
          <w:iCs w:val="0"/>
          <w:sz w:val="24"/>
          <w:szCs w:val="24"/>
          <w:rtl w:val="0"/>
        </w:rPr>
        <w:t xml:space="preserve">Agriculture, Crop Science (Acs1–Acs10)</w:t>
      </w:r>
      <w:r>
        <w:rPr>
          <w:rtl w:val="0"/>
        </w:rPr>
      </w:r>
    </w:p>
    <w:p w:rsidR="00000000" w:rsidDel="00000000" w:rsidP="00000000" w:rsidRDefault="00000000" w:rsidRPr="00000000" w14:paraId="000002F8">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cs="Georgia" w:eastAsia="Georgia" w:hAnsi="Georgia"/>
          <w:b w:val="0"/>
          <w:bCs w:val="0"/>
          <w:i w:val="0"/>
          <w:iCs w:val="0"/>
          <w:color w:val="000000"/>
          <w:sz w:val="22"/>
          <w:szCs w:val="22"/>
          <w:rtl w:val="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banana peel, when applied at an optimal rate in combination with reduced synthetic fertilizer input,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significantly enhance the growth and yield performance of finger pepper, offering a sustainable alternative for crop production.</w:t>
      </w:r>
      <w:r>
        <w:rPr>
          <w:rtl w:val="0"/>
        </w:rPr>
      </w:r>
    </w:p>
    <w:p w:rsidR="00000000" w:rsidDel="00000000" w:rsidP="00000000" w:rsidRDefault="00000000" w:rsidRPr="00000000" w14:paraId="000002FA">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cs="Georgia" w:eastAsia="Georgia" w:hAnsi="Georgia"/>
          <w:b w:val="0"/>
          <w:bCs w:val="0"/>
          <w:i w:val="0"/>
          <w:iCs w:val="0"/>
          <w:color w:val="000000"/>
          <w:sz w:val="22"/>
          <w:szCs w:val="22"/>
          <w:rtl w:val="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statistical significance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observed, the mycorrhiza treatment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still offer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the differences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significant in the study, the researchers believe that mycorrhiza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provide beneficial effects in practical agricultural contexts. The study concluded that the application of mycorrhiza positive impact on mung beans during drought and root development highlights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for plant growth. Further research </w:t>
      </w:r>
      <w:r>
        <w:rPr>
          <w:rFonts w:ascii="Georgia" w:cs="Georgia" w:eastAsia="Georgia" w:hAnsi="Georgia"/>
          <w:b w:val="1"/>
          <w:bCs w:val="1"/>
          <w:strike w:val="1"/>
          <w:color w:val="000000"/>
          <w:sz w:val="22"/>
          <w:szCs w:val="22"/>
          <w:rtl w:val="0"/>
        </w:rPr>
        <w:t xml:space="preserve">could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unveil additional insights and applications for optimizing plant health.</w:t>
      </w:r>
      <w:r>
        <w:rPr>
          <w:rtl w:val="0"/>
        </w:rPr>
      </w:r>
    </w:p>
    <w:p w:rsidR="00000000" w:rsidDel="00000000" w:rsidP="00000000" w:rsidRDefault="00000000" w:rsidRPr="00000000" w14:paraId="000002F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survive the water treatment application but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establish roots and die after several days. However,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derived that the application of different alternative rooting hormones has a comparable effect with synthetic rooting hormones based on the growth parameters.</w:t>
      </w:r>
      <w:r>
        <w:rPr>
          <w:rtl w:val="0"/>
        </w:rPr>
      </w:r>
    </w:p>
    <w:p w:rsidR="00000000" w:rsidDel="00000000" w:rsidP="00000000" w:rsidRDefault="00000000" w:rsidRPr="00000000" w14:paraId="000002F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application of seaweed extract as a bio stimulant did not significantly enhance the growth and yield of sweet potato. However, the negative control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reduce production cost and provide the highest return on investment.</w:t>
      </w:r>
      <w:r>
        <w:rPr>
          <w:rtl w:val="0"/>
        </w:rPr>
      </w:r>
    </w:p>
    <w:p w:rsidR="00000000" w:rsidDel="00000000" w:rsidP="00000000" w:rsidRDefault="00000000" w:rsidRPr="00000000" w14:paraId="0000030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Trichoderma and fermented azolla at proper application frequencies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beneficial in enhancing cultivation, promoting both plant growth and economic returns.</w:t>
      </w:r>
      <w:r>
        <w:rPr>
          <w:rtl w:val="0"/>
        </w:rPr>
      </w:r>
    </w:p>
    <w:p w:rsidR="00000000" w:rsidDel="00000000" w:rsidP="00000000" w:rsidRDefault="00000000" w:rsidRPr="00000000" w14:paraId="0000030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use of rice hull and vermicompost significantly enhanced the growth and survival of Adansonii. These findings highlight their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effective, low-cost, and sustainable soil amendments for ornamental and horticultural cultivation, offering practical options for growers seeking eco-friendly methods to improve plant performance.</w:t>
      </w:r>
      <w:r>
        <w:rPr>
          <w:rtl w:val="0"/>
        </w:rPr>
      </w:r>
    </w:p>
    <w:p w:rsidR="00000000" w:rsidDel="00000000" w:rsidP="00000000" w:rsidRDefault="00000000" w:rsidRPr="00000000" w14:paraId="0000030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attributed to the nutrient-rich content of GB 1000+ FF, which enhances soil conditions and facilitates better nutrient availability. In GB 1000+ FF contributed to vigorous vegetative growth and ultimately led to taller eggplant plants.</w:t>
      </w:r>
      <w:r>
        <w:rPr>
          <w:rtl w:val="0"/>
        </w:rPr>
      </w:r>
    </w:p>
    <w:p w:rsidR="00000000" w:rsidDel="00000000" w:rsidP="00000000" w:rsidRDefault="00000000" w:rsidRPr="00000000" w14:paraId="0000030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w:t>
      </w:r>
      <w:r>
        <w:rPr>
          <w:rFonts w:ascii="Georgia" w:cs="Georgia" w:eastAsia="Georgia" w:hAnsi="Georgia"/>
          <w:b w:val="1"/>
          <w:bCs w:val="1"/>
          <w:strike w:val="0"/>
          <w:color w:val="000000"/>
          <w:sz w:val="22"/>
          <w:szCs w:val="22"/>
          <w:shd w:fill="bfbfbf" w:val="clear"/>
          <w:rtl w:val="0"/>
        </w:rPr>
        <w:t xml:space="preserve">there was no significant difference among the different methods of kuhol amino acid app in terms of plant height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weight of marketable and weight of non-marketable fruit, number of marketable and non-marketable fruits, and computed yield. </w:t>
      </w:r>
      <w:r>
        <w:rPr>
          <w:rFonts w:ascii="Georgia" w:cs="Georgia" w:eastAsia="Georgia" w:hAnsi="Georgia"/>
          <w:b w:val="1"/>
          <w:bCs w:val="1"/>
          <w:strike w:val="0"/>
          <w:color w:val="000000"/>
          <w:sz w:val="22"/>
          <w:szCs w:val="22"/>
          <w:shd w:fill="bfbfbf" w:val="clear"/>
          <w:rtl w:val="0"/>
        </w:rPr>
        <w:t xml:space="preserve">Different methods of kuhol amino acid application influenced the plant height, weight of fruits, number of marketable and non-marketable fruits, and computed yield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researcher </w:t>
      </w:r>
      <w:r>
        <w:rPr>
          <w:rFonts w:ascii="Georgia" w:cs="Georgia" w:eastAsia="Georgia" w:hAnsi="Georgia"/>
          <w:b w:val="1"/>
          <w:bCs w:val="1"/>
          <w:strike w:val="1"/>
          <w:color w:val="000000"/>
          <w:sz w:val="22"/>
          <w:szCs w:val="22"/>
          <w:rtl w:val="0"/>
        </w:rPr>
        <w:t xml:space="preserve">recommends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foliar and drenching application of kuhol amino acid. because, numerically, it consistently produced the highest yield performance.</w:t>
      </w:r>
      <w:r>
        <w:rPr>
          <w:rtl w:val="0"/>
        </w:rPr>
      </w:r>
    </w:p>
    <w:p w:rsidR="00000000" w:rsidDel="00000000" w:rsidP="00000000" w:rsidRDefault="00000000" w:rsidRPr="00000000" w14:paraId="0000030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cs="Georgia" w:eastAsia="Georgia" w:hAnsi="Georgia"/>
          <w:b w:val="0"/>
          <w:bCs w:val="0"/>
          <w:i w:val="0"/>
          <w:iCs w:val="0"/>
          <w:color w:val="000000"/>
          <w:sz w:val="22"/>
          <w:szCs w:val="22"/>
          <w:rtl w:val="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soaking sugarcane setts in Azospirillum spp. biofertilizer for 24 hours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effectively promote early growth by enhancing root development and biomass accumulation, thereby supporting improved propagation success.</w:t>
      </w:r>
      <w:r>
        <w:rPr>
          <w:rtl w:val="0"/>
        </w:rPr>
      </w:r>
    </w:p>
    <w:p w:rsidR="00000000" w:rsidDel="00000000" w:rsidP="00000000" w:rsidRDefault="00000000" w:rsidRPr="00000000" w14:paraId="0000030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cs="Georgia" w:eastAsia="Georgia" w:hAnsi="Georgia"/>
          <w:b w:val="0"/>
          <w:bCs w:val="0"/>
          <w:i w:val="0"/>
          <w:iCs w:val="0"/>
          <w:color w:val="000000"/>
          <w:sz w:val="22"/>
          <w:szCs w:val="22"/>
          <w:rtl w:val="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w:t>
      </w:r>
      <w:r>
        <w:rPr>
          <w:rFonts w:ascii="Georgia" w:cs="Georgia" w:eastAsia="Georgia" w:hAnsi="Georgia"/>
          <w:b w:val="1"/>
          <w:bCs w:val="1"/>
          <w:strike w:val="0"/>
          <w:color w:val="000000"/>
          <w:sz w:val="22"/>
          <w:szCs w:val="22"/>
          <w:shd w:fill="bfbfbf" w:val="clear"/>
          <w:rtl w:val="0"/>
        </w:rPr>
        <w:t xml:space="preserve">a significant difference was observed in the number of productive tillers, actual yield per sample area, and computed yield per ton/ha</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T3: NPK+14-14-14 was the most compelling treatment among all treatments in terms of producing the highest number of productive tillers and obtaining the heaviest yield per ton/ha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Pr>
          <w:rtl w:val="0"/>
        </w:rPr>
      </w:r>
    </w:p>
    <w:p w:rsidR="00000000" w:rsidDel="00000000" w:rsidP="00000000" w:rsidRDefault="00000000" w:rsidRPr="00000000" w14:paraId="0000030D">
      <w:pPr>
        <w:spacing w:before="0" w:after="0" w:line="480" w:lineRule="auto"/>
        <w:jc w:val="both"/>
        <w:rPr/>
      </w:pPr>
      <w:r>
        <w:rPr>
          <w:rFonts w:ascii="Georgia" w:cs="Georgia" w:eastAsia="Georgia" w:hAnsi="Georgia"/>
          <w:b w:val="1"/>
          <w:bCs w:val="1"/>
          <w:i w:val="0"/>
          <w:iCs w:val="0"/>
          <w:sz w:val="24"/>
          <w:szCs w:val="24"/>
          <w:rtl w:val="0"/>
        </w:rPr>
        <w:t xml:space="preserve">Agriculture, Animal Science (Aas1–Aas10)</w:t>
      </w:r>
      <w:r>
        <w:rPr>
          <w:rtl w:val="0"/>
        </w:rPr>
      </w:r>
    </w:p>
    <w:p w:rsidR="00000000" w:rsidDel="00000000" w:rsidP="00000000" w:rsidRDefault="00000000" w:rsidRPr="00000000" w14:paraId="0000030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cs="Georgia" w:eastAsia="Georgia" w:hAnsi="Georgia"/>
          <w:b w:val="0"/>
          <w:bCs w:val="0"/>
          <w:i w:val="0"/>
          <w:iCs w:val="0"/>
          <w:color w:val="000000"/>
          <w:sz w:val="22"/>
          <w:szCs w:val="22"/>
          <w:rtl w:val="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w:t>
      </w:r>
      <w:r>
        <w:rPr>
          <w:rFonts w:ascii="Georgia" w:cs="Georgia" w:eastAsia="Georgia" w:hAnsi="Georgia"/>
          <w:b w:val="1"/>
          <w:bCs w:val="1"/>
          <w:strike w:val="0"/>
          <w:color w:val="000000"/>
          <w:sz w:val="22"/>
          <w:szCs w:val="22"/>
          <w:shd w:fill="bfbfbf" w:val="clear"/>
          <w:rtl w:val="0"/>
        </w:rPr>
        <w:t xml:space="preserve">No significant differences were observed in terms of mean initial weight (kg), mean final weight (kg)</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mean gain in weight (kg), mean DM intake (kg), or feed conversion ratio. </w:t>
      </w:r>
      <w:r>
        <w:rPr>
          <w:rFonts w:ascii="Georgia" w:cs="Georgia" w:eastAsia="Georgia" w:hAnsi="Georgia"/>
          <w:b w:val="1"/>
          <w:bCs w:val="1"/>
          <w:strike w:val="0"/>
          <w:color w:val="000000"/>
          <w:sz w:val="22"/>
          <w:szCs w:val="22"/>
          <w:shd w:fill="bfbfbf" w:val="clear"/>
          <w:rtl w:val="0"/>
        </w:rPr>
        <w:t xml:space="preserve">The student researcher concluded that T2 (20% GA Leaves + 40% Paragrass + 40% Concentrate Feeds) was the most compelling treatment among all treatments for the rabbits in terms of outperforming the data numerically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20% Gmelina arborea + 40% Para grass + 40% Concentrate Feeds greatly contributed to performances in terms of obtaining the highest mean final weight, mean gain in weight, and highest net income.</w:t>
      </w:r>
      <w:r>
        <w:rPr>
          <w:rtl w:val="0"/>
        </w:rPr>
      </w:r>
    </w:p>
    <w:p w:rsidR="00000000" w:rsidDel="00000000" w:rsidP="00000000" w:rsidRDefault="00000000" w:rsidRPr="00000000" w14:paraId="0000031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cs="Georgia" w:eastAsia="Georgia" w:hAnsi="Georgia"/>
          <w:b w:val="0"/>
          <w:bCs w:val="0"/>
          <w:i w:val="0"/>
          <w:iCs w:val="0"/>
          <w:color w:val="000000"/>
          <w:sz w:val="22"/>
          <w:szCs w:val="22"/>
          <w:rtl w:val="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w:t>
      </w:r>
      <w:r>
        <w:rPr>
          <w:rFonts w:ascii="Georgia" w:cs="Georgia" w:eastAsia="Georgia" w:hAnsi="Georgia"/>
          <w:b w:val="1"/>
          <w:bCs w:val="1"/>
          <w:strike w:val="0"/>
          <w:color w:val="000000"/>
          <w:sz w:val="22"/>
          <w:szCs w:val="22"/>
          <w:shd w:fill="bfbfbf" w:val="clear"/>
          <w:rtl w:val="0"/>
        </w:rPr>
        <w:t xml:space="preserve">the fermented okara extract had the biggest impact, resulting in the heaviest weight</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w:t>
      </w:r>
      <w:r>
        <w:rPr>
          <w:rFonts w:ascii="Georgia" w:cs="Georgia" w:eastAsia="Georgia" w:hAnsi="Georgia"/>
          <w:b w:val="1"/>
          <w:bCs w:val="1"/>
          <w:strike w:val="0"/>
          <w:color w:val="000000"/>
          <w:sz w:val="22"/>
          <w:szCs w:val="22"/>
          <w:shd w:fill="bfbfbf" w:val="clear"/>
          <w:rtl w:val="0"/>
        </w:rPr>
        <w:t xml:space="preserve">the total return result showed a promising future for fermented okara extract at a level of 60 ml (166.00 PHP)</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31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cs="Georgia" w:eastAsia="Georgia" w:hAnsi="Georgia"/>
          <w:b w:val="0"/>
          <w:bCs w:val="0"/>
          <w:i w:val="0"/>
          <w:iCs w:val="0"/>
          <w:color w:val="000000"/>
          <w:sz w:val="22"/>
          <w:szCs w:val="22"/>
          <w:rtl w:val="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concluded that D1 rice bran mixed with water spinach and with golden apple snail used in the study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minimize the cost of production, specifically the feed cost.</w:t>
      </w:r>
      <w:r>
        <w:rPr>
          <w:rtl w:val="0"/>
        </w:rPr>
      </w:r>
    </w:p>
    <w:p w:rsidR="00000000" w:rsidDel="00000000" w:rsidP="00000000" w:rsidRDefault="00000000" w:rsidRPr="00000000" w14:paraId="00000314">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significant difference among the treatments with regard to their initial weight, gain in weight, average daily gain, and feed conversion ratio of the experimental rabbits.</w:t>
      </w:r>
      <w:r>
        <w:rPr>
          <w:rtl w:val="0"/>
        </w:rPr>
      </w:r>
    </w:p>
    <w:p w:rsidR="00000000" w:rsidDel="00000000" w:rsidP="00000000" w:rsidRDefault="00000000" w:rsidRPr="00000000" w14:paraId="00000316">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cs="Georgia" w:eastAsia="Georgia" w:hAnsi="Georgia"/>
          <w:b w:val="0"/>
          <w:bCs w:val="0"/>
          <w:i w:val="0"/>
          <w:iCs w:val="0"/>
          <w:color w:val="000000"/>
          <w:sz w:val="22"/>
          <w:szCs w:val="22"/>
          <w:rtl w:val="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will (FP-Gen) drive animal production systems to find new sources of high-quality and sustainable protein feed raw materials. Fortunately, insect farming can (EC) be seen as a potential (EC)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00b0f0" w:val="clear"/>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1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cs="Georgia" w:eastAsia="Georgia" w:hAnsi="Georgia"/>
          <w:b w:val="0"/>
          <w:bCs w:val="0"/>
          <w:i w:val="0"/>
          <w:iCs w:val="0"/>
          <w:color w:val="000000"/>
          <w:sz w:val="22"/>
          <w:szCs w:val="22"/>
          <w:rtl w:val="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w:t>
      </w:r>
      <w:r>
        <w:rPr>
          <w:rFonts w:ascii="Georgia" w:cs="Georgia" w:eastAsia="Georgia" w:hAnsi="Georgia"/>
          <w:b w:val="1"/>
          <w:bCs w:val="1"/>
          <w:strike w:val="0"/>
          <w:color w:val="000000"/>
          <w:sz w:val="22"/>
          <w:szCs w:val="22"/>
          <w:shd w:fill="bfbfbf" w:val="clear"/>
          <w:rtl w:val="0"/>
        </w:rPr>
        <w:t xml:space="preserve">It was found to have a significant effect on the growth and germination rate of pigeon pea in terms of days to germinate, plant height, a number of leaves, and length of leaves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Sulfuric was second in terms of the scarification method effectiveness for pigeon pea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Pr>
          <w:rtl w:val="0"/>
        </w:rPr>
      </w:r>
    </w:p>
    <w:p w:rsidR="00000000" w:rsidDel="00000000" w:rsidP="00000000" w:rsidRDefault="00000000" w:rsidRPr="00000000" w14:paraId="0000031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treatments are comparable in terms of growth, </w:t>
      </w:r>
      <w:r>
        <w:rPr>
          <w:rFonts w:ascii="Georgia" w:cs="Georgia" w:eastAsia="Georgia" w:hAnsi="Georgia"/>
          <w:b w:val="1"/>
          <w:bCs w:val="1"/>
          <w:strike w:val="0"/>
          <w:color w:val="ffffff"/>
          <w:sz w:val="22"/>
          <w:szCs w:val="22"/>
          <w:highlight w:val="red"/>
          <w:rtl w:val="0"/>
        </w:rPr>
        <w:t xml:space="preserve">implying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Madre de Agua is a viable feed component under these conditions. Feeding 20%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improve final weight, while feeding 10%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reduce dry matter intake.</w:t>
      </w:r>
      <w:r>
        <w:rPr>
          <w:rtl w:val="0"/>
        </w:rPr>
      </w:r>
    </w:p>
    <w:p w:rsidR="00000000" w:rsidDel="00000000" w:rsidP="00000000" w:rsidRDefault="00000000" w:rsidRPr="00000000" w14:paraId="0000031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cs="Georgia" w:eastAsia="Georgia" w:hAnsi="Georgia"/>
          <w:b w:val="0"/>
          <w:bCs w:val="0"/>
          <w:i w:val="0"/>
          <w:iCs w:val="0"/>
          <w:color w:val="000000"/>
          <w:sz w:val="22"/>
          <w:szCs w:val="22"/>
          <w:rtl w:val="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superior feed efficiency and improved survivability to T2. Based on the results of the study,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feed mallard ducks with 75% rice porridge and 25% fish entrails during brooding stage at day 1 to day 21 for enhancing weight gain and achieving higher final weights in mallard ducks. Further research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explore the long-term effects and cost-effectiveness of these treatments and their impact on meat quality and reproductive performance.</w:t>
      </w:r>
      <w:r>
        <w:rPr>
          <w:rtl w:val="0"/>
        </w:rPr>
      </w:r>
    </w:p>
    <w:p w:rsidR="00000000" w:rsidDel="00000000" w:rsidP="00000000" w:rsidRDefault="00000000" w:rsidRPr="00000000" w14:paraId="0000032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[R]. However, mortality rate and moisture content were not significant after 6 hours and 24 hours [R]. Therefore (DO), it is recommended (FP-Rec) for future researchers to add Diatomaceous earth and neem tree extract and check the humidity. Extend data collection for 72 hours and 96 hours for future study.</w:t>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sz w:val="22"/>
          <w:szCs w:val="22"/>
          <w:rtl w:val="0"/>
          <w:color w:val="00B0F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2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based on the results,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alternative feed ration for rabbits without adverse effects, and considering that azolla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breeders to lessen the feed cost in production.</w:t>
      </w:r>
      <w:r>
        <w:rPr>
          <w:rtl w:val="0"/>
        </w:rPr>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