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i w:val="0"/>
          <w:iCs w:val="0"/>
          <w:sz w:val="22"/>
          <w:szCs w:val="22"/>
          <w:rtl w:val="0"/>
          <w:b/>
          <w:bCs/>
        </w:rPr>
        <w:t xml:space="preserve">e. Data Analysis. </w:t>
      </w:r>
      <w:r>
        <w:rPr>
          <w:rFonts w:ascii="Georgia" w:hAnsi="Georgia" w:cs="Georgia" w:eastAsia="Georgia"/>
          <w:i w:val="0"/>
          <w:iCs w:val="0"/>
          <w:sz w:val="22"/>
          <w:szCs w:val="22"/>
          <w:rtl w:val="0"/>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 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ageBreakBefore/>
        <w:keepNext/>
        <w:keepLines/>
      </w:pPr>
      <w:r>
        <w:rPr>
          <w:rFonts w:ascii="Georgia" w:hAnsi="Georgia" w:cs="Georgia" w:eastAsia="Georgia"/>
          <w:sz w:val="22"/>
          <w:szCs w:val="22"/>
          <w:b/>
        </w:rPr>
        <w:t xml:space="preserve">Table 3</w:t>
      </w:r>
    </w:p>
    <w:p>
      <w:pPr>
        <w:spacing w:before="0" w:after="0" w:line="480" w:lineRule="auto"/>
        <w:jc w:val="center"/>
        <w:keepNext/>
        <w:keepLines/>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Unhedged sites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Abstracts within a program may share advisers, so observations are not fully independent, and within-discipline spread remains larger than the gaps between means. With a small, zero-inflated sample and no multiple-comparison correction, the result is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All 65 retained hedges were coded Epistemic Caution (EC). No Politeness/Deference (P) or Discourse Organization (DO) hedges were identified. Discourse connectors such as Hence, Thus, Therefore, and In conclusion appear in the corpus and are tagged (DO) in Appendix C but are not counted as hedges. Table 6 presents the function distribution.</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and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is still worth noting on its own terms: the writer reports that statistical significance was not observed, then hedges that the treatment could still offer potential benefits, a rescue framing that matches the introduction’s concern with overclaiming. It cannot support a Null/NS-level claim.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As noted in Scope, 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and whether null write-ups invite different hedging choices, controlling for the entanglement of outcome type and discipline in this sample.</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both"/>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