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In molecular biology research articles, Hyland (1996) further showed that hedges help writers express claims with precision, caution, and deference to colleagues in a life-science research community.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rely on a narrow set of devices (Khunasathitchai et al., 2025, Suratno &amp; Aydawati, 2025, Ghia et al., 2022, and Mazidah et al., 2022).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Ghia et al. (2022) analyzed 217 English thesis abstracts by advanced Italian EFL undergraduates and found fewer hedges than L1-English peers in MICUSP, with more reliance on boosters and certainty-oriented modals. Mazidah et al. (2022) compared undergraduate thesis abstracts in English education and mathematics at an Indonesian university and found that English majors used more hedges while mathematics majors used more boosters.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Souici and Slougui (2022) examined biology research articles by Algerian authors and found that non-factive reporting verbs were the most prominent hedge type, a pattern consistent with claim support in life-science writing. Hamidi et al. (2025) found clinical science papers used slightly more hedges than basic science papers within medicine, though without statistical significance (p = .064).</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Hu and Cao (2011) compared applied linguistics article abstracts in English-medium and Chinese-medium journals and found markedly more hedges in the English-medium abstracts, a pattern they link to culturally preferred rhetorical strategies and publication context. Petchkij (2019) showed that explicit instruction can raise both frequency and variety among Thai health-science undergraduates, though modal preference persisted even after training.</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Xie and Mi (2023) examined promotion and caution across a large abstract corpus and reported that hedge words were more frequent in soft sciences and higher-ranking journals, while positive promotional wording was more common in hard sciences.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Hyland, 1996, and Souici &amp; Slougui, 2022).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