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pPr>
        <w:spacing w:before="0" w:after="0" w:line="480" w:lineRule="auto"/>
        <w:ind w:firstLine="720"/>
        <w:jc w:val="both"/>
        <w:rPr/>
      </w:pPr>
      <w:r>
        <w:rPr>
          <w:rFonts w:ascii="Georgia" w:hAnsi="Georgia"/>
          <w:sz w:val="22"/>
          <w:szCs w:val="22"/>
        </w:rPr>
        <w:t xml:space="preserve">Functional labels in this study (Epistemic Caution, Politeness/Deference, and Discourse Organization) are used for classification after a token is retained. They are not treated as mutually exclusive categories in the wider literature. Interpersonal or deferential wording can overlap with epistemic stance in context. Retention depends on the Working Test: the item must change the epistemic weight of the claim. Interpersonal coloring alone is not enough. Discourse-organizing expressions are not ruled out in advance, but they are retained only when their use in context changes commitment to the proposition. Expressions that only sequence, label, or direct attention are not classified as hedges. This inclusion rule is consistent with Crompton (1997), who defines a hedge as language that explicitly qualifies the writer's lack of commitment to the truth of a proposition, and who tests for hedging by asking whether the proposition can be restated with greater author commitment without changing its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only to support an epistemically focused identification screen.</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also code mitigation more broadly, without the epistemic-only filter used here.</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an exploratory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t xml:space="preserve">e. Data Analysis. </w:t>
      </w:r>
      <w:r>
        <w:rPr>
          <w:rFonts w:ascii="Georgia" w:hAnsi="Georgia" w:cs="Georgia" w:eastAsia="Georgia"/>
          <w:i w:val="0"/>
          <w:iCs w:val="0"/>
          <w:sz w:val="22"/>
          <w:szCs w:val="22"/>
          <w:rtl w:val="0"/>
          <w:b w:val="0"/>
          <w:bCs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under the Working Test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The absence of Politeness and Discourse Organization assignments among the 65 retained hedges should not be read as evidence that those functions are absent from PSAU student writing overall. The Working Test retains items that change epistemic weight, so the identification procedure is epistemically focused. Tokens that soften a claim without altering epistemic commitment may be excluded before functional classification. The compressed abstract genre may also limit rhetorical space for interactional or discourse-organizational mitigation. The present data cannot separate a coding effect from a genre effect. Both remain plausible accounts of the observed uniformity. That limitation is noted in Scope. The narrow functional range among retained hedges is consistent with restricted epistemic repertoires reported for developing L2 writers (Hyland &amp; Milton, 1997), though genre compression and supervisory practice remain proximate accounts in this corpus.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screen itself selects for tokens that change epistemic weight, so a single function label is partly built into the method.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sz w:val="22"/>
          <w:szCs w:val="22"/>
        </w:rPr>
        <w:t xml:space="preserve">Future research could adopt a broader mitigation coding scheme to study interpersonal and discourse-organizing functions alongside epistemic ones. This study defined hedging as epistemic stance management, drawing mainly on Hyland (1998) and Salager-Meyer (1994), and applied the Working Test so that retained hedges are those that change the epistemic weight of a claim. That focus aligns with Crompton (1997) in reserving hedge for explicit qualification of commitment to a proposition. All retained hedges were coded Epistemic Caution under that screen. The uniform function label is therefore partly a result of how hedges were identified, not a claim that Politeness or Discourse Organization never appear in developing-researcher writing. A future study could code mitigation more broadly, including devices that soften or qualify claims even when they do not pass a strict epistemic filter, and then classify epistemic, politeness, and discourse-organizing uses under that wider net. Such work would test whether interactional and textual mitigation appear in the abstract genre when the coding scheme is designed to capture them.</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pPr>
        <w:spacing w:before="0" w:after="0" w:line="480" w:lineRule="auto"/>
        <w:ind w:left="720" w:hanging="720"/>
        <w:jc w:val="both"/>
        <w:rPr/>
      </w:pPr>
      <w:r>
        <w:rPr>
          <w:rFonts w:ascii="Georgia" w:hAnsi="Georgia"/>
          <w:sz w:val="22"/>
          <w:szCs w:val="22"/>
        </w:rPr>
        <w:t xml:space="preserve">Crompton, P. (1997). Hedging in academic writing: Some theoretical problems. English for Specific Purposes, 16(4), 271-287. https://www.academia.edu/50160307/Hedging_in_academic_writing_Some_theoretical_problems</w:t>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becomes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becomes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becomes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becomes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“can” is a hedge only for possibility, not capability. “suggest” is a hedge only for a finding, not a recommendation.</w:t>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 xml:space="preserve">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becomes "presence of mycobacterial infections"), the token is coded Lexical EC even in an aim or rationale sentence. Pure topic-naming aims leave a research-object name when the token is removed and remain FP-Gen. </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