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keepNext/>
        <w:keepLines/>
        <w:spacing w:before="240" w:after="240" w:line="480" w:lineRule="auto"/>
        <w:jc w:val="righ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p>
    <w:p>
      <w:pPr>
        <w:spacing w:line="480" w:lineRule="auto" w:before="0" w:after="0"/>
        <w:ind w:firstLine="720"/>
        <w:jc w:val="both"/>
      </w:pPr>
      <w:r>
        <w:rPr>
          <w:rFonts w:ascii="Georgia" w:hAnsi="Georgia" w:eastAsia="Georgia"/>
          <w:b w:val="0"/>
          <w:i w:val="0"/>
          <w:sz w:val="22"/>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p>
    <w:p>
      <w:pPr>
        <w:spacing w:line="480" w:lineRule="auto" w:before="0" w:after="0"/>
        <w:ind w:firstLine="720"/>
        <w:jc w:val="both"/>
      </w:pPr>
      <w:r>
        <w:rPr>
          <w:rFonts w:ascii="Georgia" w:hAnsi="Georgia" w:eastAsia="Georgia"/>
          <w:b w:val="0"/>
          <w:i w:val="0"/>
          <w:sz w:val="22"/>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pPr>
        <w:spacing w:line="480" w:lineRule="auto" w:before="0" w:after="0"/>
        <w:ind w:firstLine="720"/>
        <w:jc w:val="both"/>
      </w:pPr>
      <w:r>
        <w:rPr>
          <w:rFonts w:ascii="Georgia" w:hAnsi="Georgia" w:eastAsia="Georgia"/>
          <w:b w:val="0"/>
          <w:i w:val="0"/>
          <w:sz w:val="22"/>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p>
    <w:p>
      <w:pPr>
        <w:spacing w:line="480" w:lineRule="auto" w:before="0" w:after="0"/>
        <w:ind w:firstLine="720"/>
        <w:jc w:val="both"/>
      </w:pPr>
      <w:r>
        <w:rPr>
          <w:rFonts w:ascii="Georgia" w:hAnsi="Georgia" w:eastAsia="Georgia"/>
          <w:b w:val="0"/>
          <w:i w:val="0"/>
          <w:sz w:val="22"/>
        </w:rPr>
        <w:t xml:space="preserve">These studies leave two gaps for the present work. Only Khunasathitchai et al. examined abstracts specifically; the others analyzed discussion sections or full papers, where rhetorical space is wider. None is set in a Philippine L2 context.</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p>
    <w:p>
      <w:pPr>
        <w:spacing w:line="480" w:lineRule="auto" w:before="0" w:after="0"/>
        <w:ind w:firstLine="720"/>
        <w:jc w:val="both"/>
      </w:pPr>
      <w:r>
        <w:rPr>
          <w:rFonts w:ascii="Georgia" w:hAnsi="Georgia" w:eastAsia="Georgia"/>
          <w:b w:val="0"/>
          <w:i w:val="0"/>
          <w:sz w:val="22"/>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p>
    <w:p>
      <w:pPr>
        <w:spacing w:line="480" w:lineRule="auto" w:before="0" w:after="0"/>
        <w:ind w:firstLine="720"/>
        <w:jc w:val="both"/>
      </w:pPr>
      <w:r>
        <w:rPr>
          <w:rFonts w:ascii="Georgia" w:hAnsi="Georgia" w:eastAsia="Georgia"/>
          <w:b w:val="0"/>
          <w:i w:val="0"/>
          <w:sz w:val="22"/>
        </w:rPr>
        <w:t xml:space="preserve">Because this study does not measure English proficiency independently, observed patterns may reflect L2 constraints, disciplinary socialization, or both. The aim is a descriptive baseline, not a causal account.</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p>
    <w:p>
      <w:pPr>
        <w:spacing w:line="480" w:lineRule="auto" w:before="0" w:after="0"/>
        <w:ind w:firstLine="720"/>
        <w:jc w:val="both"/>
      </w:pPr>
      <w:r>
        <w:rPr>
          <w:rFonts w:ascii="Georgia" w:hAnsi="Georgia" w:eastAsia="Georgia"/>
          <w:b w:val="0"/>
          <w:i w:val="0"/>
          <w:sz w:val="22"/>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righ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p>
    <w:p>
      <w:pPr>
        <w:spacing w:line="480" w:lineRule="auto" w:before="0" w:after="0"/>
        <w:ind w:firstLine="720"/>
        <w:jc w:val="both"/>
      </w:pPr>
      <w:r>
        <w:rPr>
          <w:rFonts w:ascii="Georgia" w:hAnsi="Georgia" w:eastAsia="Georgia"/>
          <w:b w:val="0"/>
          <w:i w:val="0"/>
          <w:sz w:val="22"/>
        </w:rPr>
        <w:t xml:space="preserve">This study maps hedging patterns in undergraduate thesis abstracts from Agriculture, Veterinary Medicine, and Biology at PSAU. It asks: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righ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p>
    <w:p>
      <w:pPr>
        <w:spacing w:line="480" w:lineRule="auto" w:before="0" w:after="0"/>
        <w:ind w:firstLine="720"/>
        <w:jc w:val="both"/>
      </w:pPr>
      <w:r>
        <w:rPr>
          <w:rFonts w:ascii="Georgia" w:hAnsi="Georgia" w:eastAsia="Georgia"/>
          <w:b w:val="0"/>
          <w:i w:val="0"/>
          <w:sz w:val="22"/>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righ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 xml:space="preserve">For writing instructors and thesis advisers at PSAU, the study provides an empirical baseline of how developing researchers in three applied life sciences programs currently manage uncertainty in abstracts. That baseline can support more targeted feedback than generic advice to “be cautious.”</w:t>
      </w:r>
    </w:p>
    <w:p>
      <w:pPr>
        <w:spacing w:line="480" w:lineRule="auto" w:before="0" w:after="0"/>
        <w:ind w:firstLine="720"/>
        <w:jc w:val="both"/>
      </w:pPr>
      <w:r>
        <w:rPr>
          <w:rFonts w:ascii="Georgia" w:hAnsi="Georgia" w:eastAsia="Georgia"/>
          <w:b/>
          <w:i w:val="0"/>
          <w:sz w:val="22"/>
        </w:rPr>
        <w:t xml:space="preserve">For academic writing researchers, it adds Philippine applied-science abstract data to a body of work that has drawn mainly from other regional and disciplinary settings.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For the BAELS program, it shows that corpus-assisted discourse analysis is a viable undergraduate thesis methodology and yields findings usable in local writing pedagogy.</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For future researchers, the sampling design, coding decision rules, and false-positive log offer a replicable protocol for similar corpus studies.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
      </w:r>
      <w:r>
        <w:rPr>
          <w:rFonts w:ascii="Georgia" w:hAnsi="Georgia" w:eastAsia="Georgia"/>
          <w:b w:val="0"/>
          <w:i w:val="0"/>
          <w:sz w:val="22"/>
        </w:rPr>
        <w:t/>
      </w:r>
    </w:p>
    <w:p>
      <w:pPr>
        <w:keepNext/>
        <w:keepLines/>
        <w:spacing w:before="240" w:after="240" w:line="480" w:lineRule="auto"/>
        <w:jc w:val="righ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righ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line="480" w:lineRule="auto" w:before="0" w:after="0"/>
      </w:pPr>
      <w:r>
        <w:rPr>
          <w:rFonts w:ascii="Georgia" w:hAnsi="Georgia" w:cs="Georgia"/>
          <w:sz w:val="22"/>
        </w:rPr>
      </w:r>
    </w:p>
    <w:p>
      <w:pPr>
        <w:spacing w:line="480" w:lineRule="auto" w:before="0" w:after="0"/>
      </w:pPr>
      <w:r>
        <w:rPr>
          <w:rFonts w:ascii="Georgia" w:hAnsi="Georgia" w:cs="Georgia"/>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righ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righ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righ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pPr>
        <w:keepNext/>
        <w:keepLines/>
        <w:spacing w:before="240" w:after="240" w:line="480" w:lineRule="auto"/>
        <w:jc w:val="righ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righ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line="480" w:lineRule="auto" w:before="0" w:after="0"/>
      </w:pPr>
      <w:r>
        <w:rPr>
          <w:rFonts w:ascii="Georgia" w:hAnsi="Georgia" w:cs="Georgia"/>
          <w:sz w:val="22"/>
        </w:rPr>
      </w:r>
    </w:p>
    <w:p>
      <w:pPr>
        <w:spacing w:line="480" w:lineRule="auto" w:before="0" w:after="0"/>
      </w:pPr>
      <w:r>
        <w:rPr>
          <w:rFonts w:ascii="Georgia" w:hAnsi="Georgia" w:cs="Georgia"/>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righ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Within the lexical hedge category, the token “potential” accounted for 14 of the 36 lexical instances (38.9%), the single most frequent hedge token in the corpus. Other frequent lexical forms included “suggests” (7), “indicating” (6), and “suggesting” (3). Modal verbs were led by “can” (9), “could” (7), and “may” (6). Concordance of the 14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11 of the 14 instances; Veterinary Medicine for 3.</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righ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40% in Agriculture and 35% in Biology.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5.91, p ≈ .052, suggesting a possible difference in the distribution of hedge counts across disciplines. Given the small sample size and zero-inflated distribution, this result should be treated as preliminary rather than as evidence of a significant disciplinary difference.</w:t>
      </w:r>
    </w:p>
    <w:p>
      <w:pPr>
        <w:spacing w:line="480" w:lineRule="auto" w:before="0" w:after="0"/>
        <w:ind w:firstLine="720"/>
        <w:jc w:val="both"/>
      </w:pPr>
      <w:r>
        <w:rPr>
          <w:rFonts w:ascii="Georgia" w:hAnsi="Georgia" w:eastAsia="Georgia"/>
          <w:b w:val="0"/>
          <w:i w:val="0"/>
          <w:sz w:val="22"/>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righ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pPr>
        <w:spacing w:line="480" w:lineRule="auto" w:before="0" w:after="0"/>
        <w:ind w:firstLine="720"/>
        <w:jc w:val="both"/>
      </w:pPr>
      <w:r>
        <w:rPr>
          <w:rFonts w:ascii="Georgia" w:hAnsi="Georgia" w:eastAsia="Georgia"/>
          <w:b w:val="0"/>
          <w:i w:val="0"/>
          <w:sz w:val="22"/>
        </w:rPr>
        <w:t>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p>
    <w:p>
      <w:pPr>
        <w:spacing w:line="480" w:lineRule="auto" w:before="0" w:after="0"/>
        <w:ind w:firstLine="720"/>
        <w:jc w:val="both"/>
      </w:pPr>
      <w:r>
        <w:t xml:space="preserve"/>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right"/>
      </w:pPr>
      <w:r>
        <w:rPr>
          <w:rFonts w:ascii="Georgia" w:hAnsi="Georgia" w:eastAsia="Georgia"/>
          <w:b/>
          <w:i w:val="0"/>
          <w:sz w:val="24"/>
        </w:rPr>
        <w:t>PART IV: DISCIPLINE-SPECIFIC HEDGING PROFILES</w:t>
      </w:r>
    </w:p>
    <w:p>
      <w:pPr>
        <w:spacing w:line="480" w:lineRule="auto" w:before="0" w:after="0"/>
        <w:ind w:firstLine="720"/>
        <w:jc w:val="both"/>
      </w:pPr>
      <w:r>
        <w:t>Parts I through III show three observable patterns in this corpus. As reported in Part II, statistical support is borderline (Kruskal-Wallis p ≈ .052; chi-square on zero-hedge rates p = .13),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line="480" w:lineRule="auto" w:before="0" w:after="0"/>
        <w:ind w:firstLine="720"/>
        <w:jc w:val="both"/>
      </w:pPr>
      <w:r>
        <w:t>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pPr>
        <w:spacing w:line="480" w:lineRule="auto" w:before="0" w:after="0"/>
        <w:ind w:firstLine="720"/>
        <w:jc w:val="both"/>
      </w:pPr>
      <w:r>
        <w:rPr>
          <w:rFonts w:ascii="Georgia" w:hAnsi="Georgia" w:eastAsia="Georgia"/>
          <w:b w:val="0"/>
          <w:i w:val="0"/>
          <w:sz w:val="22"/>
        </w:rPr>
        <w:t>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p>
    <w:p>
      <w:pPr>
        <w:spacing w:line="480" w:lineRule="auto" w:before="0" w:after="0"/>
        <w:ind w:firstLine="720"/>
        <w:jc w:val="both"/>
      </w:pPr>
      <w:r>
        <w:rPr>
          <w:rFonts w:ascii="Georgia" w:hAnsi="Georgia" w:eastAsia="Georgia"/>
          <w:b w:val="0"/>
          <w:i w:val="0"/>
          <w:sz w:val="22"/>
        </w:rPr>
        <w:t>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p>
    <w:p>
      <w:pPr>
        <w:spacing w:line="480" w:lineRule="auto" w:before="0" w:after="0"/>
        <w:ind w:firstLine="720"/>
        <w:jc w:val="both"/>
      </w:pPr>
      <w:r>
        <w:rPr>
          <w:rFonts w:ascii="Georgia" w:hAnsi="Georgia" w:eastAsia="Georgia"/>
          <w:b w:val="0"/>
          <w:i w:val="0"/>
          <w:sz w:val="22"/>
        </w:rPr>
        <w:t>Across the three disciplines, Veterinary Medicine’s sparse, assertive profile is the most robust contrast in this corpus. The Agriculture–Biology difference is marginal and partly outlier-driven. Whether these patterns reflect internalized field norms or local supervisory practice cannot be settled from the texts alone.</w:t>
      </w:r>
    </w:p>
    <w:p>
      <w:pPr>
        <w:spacing w:line="480" w:lineRule="auto" w:before="0" w:after="0"/>
        <w:ind w:firstLine="720"/>
        <w:jc w:val="both"/>
      </w:pPr>
      <w:r>
        <w:rPr>
          <w:rFonts w:ascii="Georgia" w:hAnsi="Georgia" w:eastAsia="Georgia"/>
          <w:b w:val="0"/>
          <w:i w:val="0"/>
          <w:sz w:val="22"/>
        </w:rPr>
        <w:t>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Three observations support a descriptive label of pro forma hedging, not a confirmed construct: (1) potential accounts for a large share of lexical hedges and recurs in near-identical frames (Part I); (2) all retained hedges serve a single function (Part III); (3) nearly half of abstracts contain no hedges at all (Part II).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pPr>
        <w:spacing w:line="480" w:lineRule="auto" w:before="0" w:after="0"/>
        <w:ind w:firstLine="720"/>
        <w:jc w:val="both"/>
      </w:pPr>
      <w:r>
        <w:t xml:space="preserve"/>
      </w:r>
    </w:p>
    <w:p>
      <w:pPr>
        <w:spacing w:line="480" w:lineRule="auto" w:before="0" w:after="0"/>
      </w:pPr>
      <w:r>
        <w:rPr>
          <w:rFonts w:ascii="Georgia" w:hAnsi="Georgia" w:cs="Georgia"/>
          <w:sz w:val="22"/>
        </w:rPr>
      </w:r>
    </w:p>
    <w:p>
      <w:pPr>
        <w:spacing w:line="480" w:lineRule="auto" w:before="0" w:after="0"/>
      </w:pPr>
      <w:r>
        <w:rPr>
          <w:rFonts w:ascii="Georgia" w:hAnsi="Georgia" w:cs="Georgia"/>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 xml:space="preserve">This study mapped hedging in 60 undergraduate thesis abstracts across Agriculture, Veterinary Medicine, and Biology at PSAU.</w:t>
      </w:r>
    </w:p>
    <w:p>
      <w:pPr>
        <w:keepNext/>
        <w:keepLines/>
        <w:spacing w:before="240" w:after="240" w:line="480" w:lineRule="auto"/>
        <w:jc w:val="righ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outnumber modal verbs in this corpus, largely because of formulaic potential. Density is highest in Agriculture, then Biology, then Veterinary Medicine, with nearly half of abstracts containing no coded hedges. Every retained hedge was coded as Epistemic Caution. Full counts and tests are reported in Parts I–III.</w:t>
      </w:r>
    </w:p>
    <w:p>
      <w:pPr>
        <w:spacing w:line="480" w:lineRule="auto" w:before="0" w:after="0"/>
        <w:ind w:firstLine="720"/>
        <w:jc w:val="both"/>
      </w:pPr>
      <w:r>
        <w:rPr>
          <w:rFonts w:ascii="Georgia" w:hAnsi="Georgia" w:eastAsia="Georgia"/>
          <w:b w:val="0"/>
          <w:i w:val="0"/>
          <w:sz w:val="22"/>
        </w:rPr>
        <w:t>Disciplinary differentiation is present but uneven. Veterinary Medicine’s sparse, assertive profile is the clearest contrast. Agriculture’s edge over Biology is modest and outlier-sensitive. The patterns are consistent with field-specific epistemic demands (Salager-Meyer, 1994) among developing writers, but statistical evidence is borderline (Kruskal-Wallis p ≈ .052) and the sample is small. The study provides a local baseline, not a general law.</w:t>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righ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p>
    <w:p>
      <w:pPr>
        <w:spacing w:line="480" w:lineRule="auto" w:before="0" w:after="0"/>
        <w:ind w:firstLine="720"/>
        <w:jc w:val="both"/>
      </w:pPr>
      <w:r>
        <w:rPr>
          <w:rFonts w:ascii="Georgia" w:hAnsi="Georgia" w:eastAsia="Georgia"/>
          <w:b w:val="0"/>
          <w:i w:val="0"/>
          <w:sz w:val="22"/>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Instruction should also distinguish topic-naming potential in aim statements from epistemic potential in conclusions, without treating hedging as a quota to fill.</w:t>
      </w:r>
    </w:p>
    <w:p>
      <w:pPr>
        <w:spacing w:before="240" w:after="0"/>
      </w:pPr>
      <w:r>
        <w:rPr>
          <w:rFonts w:ascii="Georgia" w:hAnsi="Georgia" w:eastAsia="Georgia"/>
          <w:b/>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line="480" w:lineRule="auto" w:before="0" w:after="0"/>
      </w:pPr>
      <w:r>
        <w:rPr>
          <w:rFonts w:ascii="Georgia" w:hAnsi="Georgia" w:cs="Georgia"/>
          <w:sz w:val="22"/>
        </w:rPr>
      </w:r>
    </w:p>
    <w:p>
      <w:pPr>
        <w:spacing w:line="480" w:lineRule="auto" w:before="0" w:after="0"/>
      </w:pPr>
      <w:r>
        <w:rPr>
          <w:rFonts w:ascii="Georgia" w:hAnsi="Georgia" w:cs="Georgia"/>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https://doi.org/10.47772/IJRISS.2025.91100485</w:t>
      </w:r>
    </w:p>
    <w:p>
      <w:pPr>
        <w:spacing w:line="480" w:lineRule="auto" w:before="0" w:after="0"/>
        <w:ind w:left="720" w:hanging="720"/>
        <w:jc w:val="left"/>
      </w:pP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Landis, J. R., &amp; Koch, G. G. (1977). The measurement of observer agreement for categorical data. Biometrics, 33(1), 159–174. https://doi.org/10.2307/2529310</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Ningrum, S., Puspita, H., &amp; Mulyadi, A. I.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Electronic Journal of Foreign Language Teaching, 16(1), 95–113. https://e-flt.nus.edu.sg/wp-content/uploads/2020/09/petchkij.pdf</w:t>
      </w: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line="480" w:lineRule="auto" w:before="0" w:after="0"/>
      </w:pPr>
      <w:r>
        <w:rPr>
          <w:rFonts w:ascii="Georgia" w:hAnsi="Georgia" w:cs="Georgia"/>
          <w:sz w:val="22"/>
        </w:rPr>
      </w:r>
    </w:p>
    <w:p>
      <w:pPr>
        <w:spacing w:line="480" w:lineRule="auto" w:before="0" w:after="0"/>
      </w:pPr>
      <w:r>
        <w:rPr>
          <w:rFonts w:ascii="Georgia" w:hAnsi="Georgia" w:cs="Georgia"/>
          <w:sz w:val="22"/>
        </w:rPr>
      </w:r>
    </w:p>
    <w:p>
      <w:pPr>
        <w:keepNext/>
        <w:keepLines/>
        <w:spacing w:before="0" w:after="240" w:line="24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120" w:after="200" w:line="240" w:lineRule="auto"/>
        <w:jc w:val="center"/>
      </w:pPr>
      <w:r>
        <w:rPr>
          <w:rFonts w:ascii="Georgia" w:hAnsi="Georgia" w:eastAsia="Georgia"/>
          <w:b/>
          <w:i w:val="0"/>
          <w:sz w:val="28"/>
        </w:rPr>
      </w:r>
      <w:r>
        <w:rPr>
          <w:rFonts w:ascii="Georgia" w:hAnsi="Georgia" w:cs="Georgia"/>
          <w:b/>
          <w:sz w:val="28"/>
        </w:rPr>
        <w:t>APPENDIX A: HEDGING CODEBOOK</w:t>
      </w:r>
    </w:p>
    <w:p>
      <w:pPr>
        <w:spacing w:before="0" w:after="120" w:line="240" w:lineRule="auto"/>
        <w:jc w:val="left"/>
      </w:pPr>
      <w:r>
        <w:rPr>
          <w:rFonts w:ascii="Georgia" w:hAnsi="Georgia" w:eastAsia="Georgia"/>
          <w:b w:val="0"/>
          <w:i w:val="0"/>
          <w:sz w:val="22"/>
        </w:rPr>
      </w:r>
      <w:r>
        <w:rPr>
          <w:rFonts w:ascii="Georgia" w:hAnsi="Georgia" w:cs="Georgia"/>
          <w:b w:val="0"/>
          <w:sz w:val="22"/>
        </w:rPr>
        <w:t>This appendix is the full coding protocol used for the study. It opens with a one-page quick-reference, then gives the operational layers, decision rules, false-positive categories, and recording conventions.</w:t>
      </w:r>
    </w:p>
    <w:p>
      <w:pPr>
        <w:spacing w:line="240" w:lineRule="auto" w:before="240" w:after="120"/>
        <w:ind w:firstLine="720"/>
        <w:jc w:val="left"/>
      </w:pPr>
      <w:r>
        <w:rPr>
          <w:rFonts w:ascii="Georgia" w:hAnsi="Georgia" w:eastAsia="Georgia"/>
          <w:b/>
          <w:i w:val="0"/>
          <w:sz w:val="22"/>
        </w:rPr>
      </w:r>
      <w:r>
        <w:rPr>
          <w:rFonts w:ascii="Georgia" w:hAnsi="Georgia" w:cs="Georgia"/>
          <w:b/>
          <w:sz w:val="24"/>
        </w:rPr>
        <w:t>QUICK-REFERENCE</w:t>
      </w:r>
    </w:p>
    <w:p>
      <w:pPr>
        <w:keepNext/>
        <w:keepLines/>
        <w:spacing w:before="0" w:after="120" w:line="240" w:lineRule="auto"/>
        <w:jc w:val="left"/>
      </w:pPr>
      <w:r>
        <w:rPr>
          <w:rFonts w:ascii="Georgia" w:hAnsi="Georgia" w:eastAsia="Georgia"/>
          <w:b w:val="0"/>
          <w:i/>
          <w:sz w:val="24"/>
        </w:rPr>
      </w:r>
      <w:r>
        <w:rPr>
          <w:rFonts w:ascii="Georgia" w:hAnsi="Georgia" w:cs="Georgia"/>
          <w:b w:val="0"/>
          <w:sz w:val="22"/>
        </w:rPr>
        <w:t>Coding is context-sensitive. A word is a hedge only when it functions as one in the sentence, not because it appears on a list.</w:t>
      </w:r>
    </w:p>
    <w:p>
      <w:pPr>
        <w:spacing w:line="240" w:lineRule="auto" w:before="200" w:after="80"/>
        <w:jc w:val="left"/>
      </w:pPr>
      <w:r>
        <w:rPr>
          <w:rFonts w:ascii="Georgia" w:hAnsi="Georgia" w:eastAsia="Georgia"/>
          <w:b/>
          <w:i w:val="0"/>
          <w:sz w:val="22"/>
        </w:rPr>
      </w:r>
      <w:r>
        <w:rPr>
          <w:rFonts w:ascii="Georgia" w:hAnsi="Georgia" w:cs="Georgia"/>
          <w:b/>
          <w:sz w:val="24"/>
        </w:rPr>
        <w:t>Hedge types</w:t>
      </w:r>
    </w:p>
    <w:p>
      <w:pPr>
        <w:spacing w:line="240" w:lineRule="auto" w:before="0" w:after="60"/>
        <w:ind w:left="240"/>
        <w:jc w:val="left"/>
      </w:pPr>
      <w:r>
        <w:rPr>
          <w:rFonts w:ascii="Georgia" w:hAnsi="Georgia" w:eastAsia="Georgia"/>
          <w:b w:val="0"/>
          <w:i w:val="0"/>
          <w:sz w:val="22"/>
        </w:rPr>
      </w:r>
      <w:r>
        <w:rPr>
          <w:rFonts w:ascii="Georgia" w:hAnsi="Georgia" w:cs="Georgia"/>
          <w:b w:val="0"/>
          <w:sz w:val="22"/>
        </w:rPr>
        <w:t>1. Modal verbs: may, might, could, would, should, can (when they mark possibility, not capability or obligation).</w:t>
      </w:r>
    </w:p>
    <w:p>
      <w:pPr>
        <w:spacing w:line="240" w:lineRule="auto" w:before="0" w:after="60"/>
        <w:ind w:left="240"/>
        <w:jc w:val="left"/>
      </w:pPr>
      <w:r>
        <w:rPr>
          <w:rFonts w:ascii="Georgia" w:hAnsi="Georgia" w:eastAsia="Georgia"/>
          <w:b w:val="0"/>
          <w:i w:val="0"/>
          <w:sz w:val="22"/>
        </w:rPr>
      </w:r>
      <w:r>
        <w:rPr>
          <w:rFonts w:ascii="Georgia" w:hAnsi="Georgia" w:cs="Georgia"/>
          <w:b w:val="0"/>
          <w:sz w:val="22"/>
        </w:rPr>
        <w:t>2. Lexical hedges: suggest, indicate, appear, seem, propose, assume, possible, probable, likely, potential (and similar epistemic adjectives or nouns) when they qualify the certainty of a claim and pass the Working Test.</w:t>
      </w:r>
    </w:p>
    <w:p>
      <w:pPr>
        <w:spacing w:line="240" w:lineRule="auto" w:before="0" w:after="60"/>
        <w:ind w:left="240"/>
        <w:jc w:val="left"/>
      </w:pPr>
      <w:r>
        <w:rPr>
          <w:rFonts w:ascii="Georgia" w:hAnsi="Georgia" w:eastAsia="Georgia"/>
          <w:b w:val="0"/>
          <w:i w:val="0"/>
          <w:sz w:val="22"/>
        </w:rPr>
      </w:r>
      <w:r>
        <w:rPr>
          <w:rFonts w:ascii="Georgia" w:hAnsi="Georgia" w:cs="Georgia"/>
          <w:b w:val="0"/>
          <w:sz w:val="22"/>
        </w:rPr>
        <w:t>3. Adverbial hedges: generally, typically, possibly, probably, relatively, essentially (when they qualify scope or certainty, not procedural routine).</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4. Clause-level hedges: it seems that, it is possible that, to some extent, in our view.</w:t>
      </w:r>
    </w:p>
    <w:p>
      <w:pPr>
        <w:spacing w:line="240" w:lineRule="auto" w:before="200" w:after="80"/>
        <w:ind w:firstLine="720"/>
        <w:jc w:val="left"/>
      </w:pPr>
      <w:r>
        <w:rPr>
          <w:rFonts w:ascii="Georgia" w:hAnsi="Georgia" w:eastAsia="Georgia"/>
          <w:b/>
          <w:i w:val="0"/>
          <w:sz w:val="22"/>
        </w:rPr>
      </w:r>
      <w:r>
        <w:rPr>
          <w:rFonts w:ascii="Georgia" w:hAnsi="Georgia" w:eastAsia="Georgia"/>
          <w:b/>
          <w:i w:val="0"/>
          <w:sz w:val="22"/>
        </w:rPr>
      </w:r>
      <w:r>
        <w:rPr>
          <w:rFonts w:ascii="Georgia" w:hAnsi="Georgia" w:cs="Georgia"/>
          <w:b/>
          <w:sz w:val="24"/>
        </w:rPr>
        <w:t>Hedge functions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Epistemic Caution: marks uncertainty about whether a claim is true (e.g., The treatment may reduce infection rates).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Politeness / Deference: softens face threat or shows respect rather than genuine doubt (e.g., As suggested by Hyland…).</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Discourse Organization: manages text structure or reader expectations rather than stance (e.g., It should be noted that…).</w:t>
      </w:r>
    </w:p>
    <w:p>
      <w:pPr>
        <w:spacing w:line="240" w:lineRule="auto" w:before="200" w:after="80"/>
        <w:ind w:firstLine="720"/>
        <w:jc w:val="left"/>
      </w:pPr>
      <w:r>
        <w:rPr>
          <w:rFonts w:ascii="Georgia" w:hAnsi="Georgia" w:eastAsia="Georgia"/>
          <w:b/>
          <w:i w:val="0"/>
          <w:sz w:val="22"/>
        </w:rPr>
      </w:r>
      <w:r>
        <w:rPr>
          <w:rFonts w:ascii="Georgia" w:hAnsi="Georgia" w:eastAsia="Georgia"/>
          <w:b/>
          <w:i w:val="0"/>
          <w:sz w:val="22"/>
        </w:rPr>
      </w:r>
      <w:r>
        <w:rPr>
          <w:rFonts w:ascii="Georgia" w:hAnsi="Georgia" w:cs="Georgia"/>
          <w:b/>
          <w:sz w:val="24"/>
        </w:rPr>
        <w:t>Core decision rules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suggest / indicate → hedge when introducing a finding; not a hedge when introducing a recommendation.</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can / may → hedge when marking possibility; not a hedge when marking capability.</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generally / typically → hedge when limiting the scope of a claim; not a hedge when describing a procedural norm.</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appear / seem → hedge when expressing uncertainty about a result; not a hedge when pointing to location in a table or text.</w:t>
      </w:r>
    </w:p>
    <w:p>
      <w:pPr>
        <w:spacing w:line="240" w:lineRule="auto" w:before="200" w:after="80"/>
        <w:ind w:firstLine="720"/>
        <w:jc w:val="left"/>
      </w:pPr>
      <w:r>
        <w:rPr>
          <w:rFonts w:ascii="Georgia" w:hAnsi="Georgia" w:eastAsia="Georgia"/>
          <w:b/>
          <w:i w:val="0"/>
          <w:sz w:val="22"/>
        </w:rPr>
      </w:r>
      <w:r>
        <w:rPr>
          <w:rFonts w:ascii="Georgia" w:hAnsi="Georgia" w:cs="Georgia"/>
          <w:b/>
          <w:sz w:val="24"/>
        </w:rPr>
        <w:t>Exclusion and Working Test</w:t>
      </w:r>
    </w:p>
    <w:p>
      <w:pPr>
        <w:spacing w:before="0" w:after="120" w:line="240" w:lineRule="auto"/>
        <w:jc w:val="left"/>
      </w:pPr>
      <w:r>
        <w:rPr>
          <w:rFonts w:ascii="Georgia" w:hAnsi="Georgia" w:eastAsia="Georgia"/>
          <w:b w:val="0"/>
          <w:i w:val="0"/>
          <w:sz w:val="22"/>
        </w:rPr>
      </w:r>
      <w:r>
        <w:rPr>
          <w:rFonts w:ascii="Georgia" w:hAnsi="Georgia" w:cs="Georgia"/>
          <w:b w:val="0"/>
          <w:sz w:val="22"/>
        </w:rPr>
        <w:t>Ability, future procedure, and necessity (must / should in procedural contexts) are never hedges. Working Test: if removing the device does not change how certain or tentative the claim is, it is not a hedge.</w:t>
      </w:r>
    </w:p>
    <w:p>
      <w:pPr>
        <w:spacing w:before="320" w:after="160" w:line="240" w:lineRule="auto"/>
        <w:jc w:val="left"/>
      </w:pPr>
      <w:r>
        <w:rPr>
          <w:rFonts w:ascii="Georgia" w:hAnsi="Georgia" w:eastAsia="Georgia"/>
          <w:b/>
          <w:i w:val="0"/>
          <w:sz w:val="28"/>
        </w:rPr>
      </w:r>
      <w:r>
        <w:rPr>
          <w:rFonts w:ascii="Georgia" w:hAnsi="Georgia" w:cs="Georgia"/>
          <w:b/>
          <w:sz w:val="24"/>
        </w:rPr>
        <w:t>FULL CODEBOOK</w:t>
      </w:r>
    </w:p>
    <w:p>
      <w:pPr>
        <w:spacing w:before="0" w:after="0" w:line="240" w:lineRule="auto"/>
      </w:pPr>
      <w:r>
        <w:rPr>
          <w:rFonts w:ascii="Georgia" w:hAnsi="Georgia" w:eastAsia="Georgia"/>
          <w:b w:val="0"/>
          <w:i w:val="0"/>
          <w:sz w:val="22"/>
        </w:rPr>
      </w:r>
    </w:p>
    <w:p>
      <w:pPr>
        <w:keepNext/>
        <w:keepLines/>
        <w:spacing w:before="200" w:after="80" w:line="240" w:lineRule="auto"/>
        <w:jc w:val="left"/>
      </w:pPr>
      <w:r>
        <w:rPr>
          <w:rFonts w:ascii="Georgia" w:hAnsi="Georgia" w:eastAsia="Georgia" w:cs="Georgia"/>
          <w:b/>
          <w:i w:val="0"/>
          <w:sz w:val="22"/>
        </w:rPr>
        <w:t>PURPOSE</w:t>
      </w:r>
    </w:p>
    <w:p>
      <w:pPr>
        <w:spacing w:line="240" w:lineRule="auto" w:before="0" w:after="120"/>
        <w:ind w:firstLine="720"/>
        <w:jc w:val="left"/>
      </w:pPr>
      <w:r>
        <w:rPr>
          <w:rFonts w:ascii="Georgia" w:hAnsi="Georgia" w:eastAsia="Georgia"/>
          <w:b w:val="0"/>
          <w:i w:val="0"/>
          <w:sz w:val="22"/>
        </w:rPr>
      </w:r>
      <w:r>
        <w:rPr>
          <w:rFonts w:ascii="Georgia" w:hAnsi="Georgia" w:cs="Georgia"/>
          <w:b w:val="0"/>
          <w:sz w:val="22"/>
        </w:rPr>
        <w:t>This codebook turns Hyland’s (1998) framework into a practical coding scheme for the PSAU undergraduate thesis abstract corpus. Highlights are background colors applied by hand or digital highlighter on printed or PDF copies. They are not font colors and are not software-dependent. The marked hard copy is the primary record; any spreadsheet is only a derived tally.</w:t>
      </w:r>
    </w:p>
    <w:p>
      <w:pPr>
        <w:keepNext/>
        <w:keepLines/>
        <w:spacing w:before="200" w:after="80" w:line="240" w:lineRule="auto"/>
        <w:jc w:val="left"/>
      </w:pPr>
      <w:r>
        <w:rPr>
          <w:rFonts w:ascii="Georgia" w:hAnsi="Georgia" w:eastAsia="Georgia"/>
          <w:b/>
          <w:i w:val="0"/>
          <w:sz w:val="24"/>
        </w:rPr>
        <w:t>WORKING TEST</w:t>
      </w:r>
    </w:p>
    <w:p>
      <w:pPr>
        <w:spacing w:line="240" w:lineRule="auto" w:before="0" w:after="12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240" w:lineRule="auto" w:before="0" w:after="12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240" w:lineRule="auto" w:before="0" w:after="12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240" w:lineRule="auto" w:before="0" w:after="12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00" w:after="80" w:line="240" w:lineRule="auto"/>
        <w:jc w:val="left"/>
      </w:pPr>
      <w:r>
        <w:rPr>
          <w:rFonts w:ascii="Georgia" w:hAnsi="Georgia" w:eastAsia="Georgia"/>
          <w:b/>
          <w:i w:val="0"/>
          <w:sz w:val="24"/>
        </w:rPr>
        <w:t>LAYER 1: HEDGE TYPE (PRIMARY COLORS)</w:t>
      </w:r>
    </w:p>
    <w:p>
      <w:pPr>
        <w:spacing w:line="240" w:lineRule="auto" w:before="0" w:after="12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240" w:lineRule="auto" w:before="0" w:after="120"/>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00" w:after="80" w:line="240" w:lineRule="auto"/>
        <w:jc w:val="left"/>
      </w:pPr>
      <w:r>
        <w:rPr>
          <w:rFonts w:ascii="Georgia" w:hAnsi="Georgia" w:eastAsia="Georgia"/>
          <w:b/>
          <w:i w:val="0"/>
          <w:sz w:val="24"/>
        </w:rPr>
        <w:t>LAYER 2: HEDGE FUNCTION (COLORED TEXT LABELS)</w:t>
      </w:r>
    </w:p>
    <w:p>
      <w:pPr>
        <w:spacing w:line="240" w:lineRule="auto" w:before="0" w:after="12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00" w:after="80" w:line="240" w:lineRule="auto"/>
        <w:jc w:val="left"/>
      </w:pPr>
      <w:r>
        <w:rPr>
          <w:rFonts w:ascii="Georgia" w:hAnsi="Georgia" w:eastAsia="Georgia"/>
          <w:b/>
          <w:i w:val="0"/>
          <w:sz w:val="24"/>
        </w:rPr>
        <w:t>DECISION RULES FOR AMBIGUOUS CASES</w:t>
      </w:r>
    </w:p>
    <w:p>
      <w:pPr>
        <w:spacing w:line="240" w:lineRule="auto" w:before="0" w:after="12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240" w:lineRule="auto" w:before="0" w:after="120"/>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00" w:after="80" w:line="240" w:lineRule="auto"/>
        <w:jc w:val="left"/>
      </w:pPr>
      <w:r>
        <w:rPr>
          <w:rFonts w:ascii="Georgia" w:hAnsi="Georgia" w:eastAsia="Georgia"/>
          <w:b/>
          <w:i w:val="0"/>
          <w:sz w:val="24"/>
        </w:rPr>
        <w:t>MARKING FALSE POSITIVES</w:t>
      </w:r>
    </w:p>
    <w:p>
      <w:pPr>
        <w:spacing w:line="240" w:lineRule="auto" w:before="0" w:after="12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00" w:after="80" w:line="240" w:lineRule="auto"/>
        <w:jc w:val="left"/>
      </w:pPr>
      <w:r>
        <w:rPr>
          <w:rFonts w:ascii="Georgia" w:hAnsi="Georgia" w:eastAsia="Georgia"/>
          <w:b/>
          <w:i w:val="0"/>
          <w:sz w:val="24"/>
        </w:rPr>
        <w:t>LAYER 3 (OPTIONAL): UNHEDGED ASSERTION SITES (NEUTRAL GREY)</w:t>
      </w:r>
    </w:p>
    <w:p>
      <w:pPr>
        <w:spacing w:line="240" w:lineRule="auto" w:before="0" w:after="12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00" w:after="80" w:line="240" w:lineRule="auto"/>
        <w:jc w:val="left"/>
      </w:pPr>
      <w:r>
        <w:rPr>
          <w:rFonts w:ascii="Georgia" w:hAnsi="Georgia" w:eastAsia="Georgia"/>
          <w:b/>
          <w:i w:val="0"/>
          <w:sz w:val="24"/>
        </w:rPr>
        <w:t>QUICK-REFERENCE LEGEND</w:t>
      </w:r>
    </w:p>
    <w:p>
      <w:pPr>
        <w:spacing w:line="240" w:lineRule="auto" w:before="0" w:after="12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00" w:after="80" w:line="240" w:lineRule="auto"/>
        <w:jc w:val="left"/>
      </w:pPr>
      <w:r>
        <w:rPr>
          <w:rFonts w:ascii="Georgia" w:hAnsi="Georgia" w:eastAsia="Georgia"/>
          <w:b/>
          <w:i w:val="0"/>
          <w:sz w:val="24"/>
        </w:rPr>
        <w:t>COMBINED EXAMPLE</w:t>
      </w:r>
    </w:p>
    <w:p>
      <w:pPr>
        <w:spacing w:line="240" w:lineRule="auto" w:before="0" w:after="12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240" w:lineRule="auto" w:before="0" w:after="12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00" w:after="80" w:line="240" w:lineRule="auto"/>
        <w:jc w:val="left"/>
      </w:pPr>
      <w:r>
        <w:rPr>
          <w:rFonts w:ascii="Georgia" w:hAnsi="Georgia" w:eastAsia="Georgia"/>
          <w:b/>
          <w:i w:val="0"/>
          <w:sz w:val="24"/>
        </w:rPr>
        <w:t>CODING SHEET COLUMNS</w:t>
      </w:r>
    </w:p>
    <w:p>
      <w:pPr>
        <w:spacing w:line="240" w:lineRule="auto" w:before="0" w:after="12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240" w:lineRule="auto" w:before="0" w:after="120"/>
        <w:ind w:firstLine="720"/>
        <w:jc w:val="both"/>
      </w:pPr>
      <w:r>
        <w:rPr>
          <w:rFonts w:ascii="Georgia" w:hAnsi="Georgia" w:eastAsia="Georgia"/>
          <w:b w:val="0"/>
          <w:i/>
          <w:color w:val="000000"/>
          <w:sz w:val="22"/>
        </w:rPr>
        <w:t>Layer 3 data, tracked separately so it never inflates RQ2 counts.</w:t>
      </w:r>
    </w:p>
    <w:p>
      <w:pPr>
        <w:keepNext/>
        <w:keepLines/>
        <w:spacing w:before="0" w:after="120" w:line="24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0" w:after="120" w:line="240" w:lineRule="auto"/>
        <w:jc w:val="left"/>
      </w:pPr>
      <w:r>
        <w:rPr>
          <w:rFonts w:ascii="Georgia" w:hAnsi="Georgia" w:eastAsia="Georgia"/>
          <w:b w:val="0"/>
          <w:i/>
          <w:sz w:val="24"/>
        </w:rPr>
        <w:t>Optional Tab: Rejected Hedge Candidates</w:t>
      </w:r>
    </w:p>
    <w:p>
      <w:pPr>
        <w:spacing w:line="240" w:lineRule="auto" w:before="0" w:after="12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pacing w:before="360" w:after="200" w:line="240" w:lineRule="auto"/>
        <w:jc w:val="center"/>
      </w:pPr>
      <w:r>
        <w:rPr>
          <w:rFonts w:ascii="Georgia" w:hAnsi="Georgia" w:eastAsia="Georgia" w:cs="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240" w:lineRule="auto" w:before="0" w:after="120"/>
        <w:ind w:firstLine="720"/>
        <w:jc w:val="left"/>
      </w:pPr>
      <w:r>
        <w:rPr>
          <w:rFonts w:ascii="Georgia" w:hAnsi="Georgia" w:eastAsia="Georgia"/>
          <w:b w:val="0"/>
          <w:i w:val="0"/>
          <w:sz w:val="22"/>
        </w:rPr>
      </w:r>
      <w:r>
        <w:rPr>
          <w:rFonts w:ascii="Georgia" w:hAnsi="Georgia" w:cs="Georgia"/>
          <w:b w:val="0"/>
          <w:sz w:val="22"/>
        </w:rPr>
        <w:t>Four abstracts drawn from the pre-2023 pool were coded before the main corpus. The goal was to test the scheme, settle borderline cases, and see whether zero-hedge abstracts were common enough to shape the study design. Each abstract is given below with its coding summary.</w:t>
      </w:r>
    </w:p>
    <w:p>
      <w:pPr>
        <w:keepNext/>
        <w:keepLines/>
        <w:spacing w:before="200" w:after="80" w:line="240" w:lineRule="auto"/>
        <w:jc w:val="left"/>
      </w:pPr>
      <w:r>
        <w:rPr>
          <w:rFonts w:ascii="Georgia" w:hAnsi="Georgia" w:eastAsia="Georgia"/>
          <w:b/>
          <w:i/>
          <w:sz w:val="24"/>
        </w:rPr>
        <w:t>Sample 1: Biology</w:t>
      </w:r>
    </w:p>
    <w:p>
      <w:pPr>
        <w:spacing w:line="240" w:lineRule="auto" w:before="0" w:after="12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240" w:lineRule="auto" w:before="0" w:after="12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240" w:lineRule="auto" w:before="0" w:after="120"/>
        <w:ind w:firstLine="720"/>
        <w:jc w:val="both"/>
      </w:pPr>
      <w:r>
        <w:rPr>
          <w:rFonts w:ascii="Georgia" w:hAnsi="Georgia" w:eastAsia="Georgia"/>
          <w:b/>
          <w:i w:val="0"/>
          <w:sz w:val="22"/>
        </w:rPr>
        <w:t>Hedge Count: 0</w:t>
      </w:r>
    </w:p>
    <w:p>
      <w:pPr>
        <w:spacing w:line="240" w:lineRule="auto" w:before="0" w:after="12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r>
      <w:r>
        <w:rPr>
          <w:rFonts w:ascii="Georgia" w:hAnsi="Georgia" w:cs="Georgia"/>
          <w:b/>
          <w:sz w:val="22"/>
        </w:rPr>
        <w:t>General observation from the pilot</w:t>
      </w:r>
    </w:p>
    <w:p>
      <w:pPr>
        <w:spacing w:line="480" w:lineRule="auto" w:before="0" w:after="0"/>
        <w:ind w:firstLine="720"/>
        <w:jc w:val="left"/>
      </w:pPr>
      <w:r>
        <w:rPr>
          <w:rFonts w:ascii="Georgia" w:hAnsi="Georgia" w:eastAsia="Georgia"/>
          <w:b w:val="0"/>
          <w:i w:val="0"/>
          <w:sz w:val="22"/>
        </w:rPr>
      </w:r>
      <w:r>
        <w:rPr>
          <w:rFonts w:ascii="Georgia" w:hAnsi="Georgia" w:cs="Georgia"/>
          <w:b w:val="0"/>
          <w:sz w:val="22"/>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360" w:after="200" w:line="240" w:lineRule="auto"/>
        <w:jc w:val="center"/>
      </w:pPr>
      <w:r>
        <w:rPr>
          <w:rFonts w:ascii="Georgia" w:hAnsi="Georgia" w:eastAsia="Georgia"/>
          <w:b/>
          <w:i w:val="0"/>
          <w:sz w:val="28"/>
        </w:rPr>
      </w:r>
      <w:r>
        <w:rPr>
          <w:rFonts w:ascii="Georgia" w:hAnsi="Georgia" w:cs="Georgia"/>
          <w:b/>
          <w:sz w:val="28"/>
        </w:rPr>
        <w:t>APPENDIX C: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