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 xml:space="preserve">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among developing researchers?</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 xml:space="preserve">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1"/>
          <w:bCs w:val="1"/>
          <w:rtl w:val="0"/>
        </w:rPr>
        <w:t xml:space="preserve">For writing instructors and thesis advisers at PSAU,</w:t>
      </w:r>
      <w:r>
        <w:rPr>
          <w:b w:val="0"/>
          <w:bCs w:val="0"/>
          <w:rtl w:val="0"/>
        </w:rPr>
        <w:t xml:space="preserve"> the study provides an empirical baseline of how developing researchers in three applied life sciences programs currently manage uncertainty in abstracts. That baseline can support more targeted feedback than generic advice to “be cautious.”</w:t>
      </w:r>
      <w:r>
        <w:rPr>
          <w:rtl w:val="0"/>
        </w:rPr>
      </w:r>
    </w:p>
    <w:p w:rsidR="00000000" w:rsidDel="00000000" w:rsidP="00000000" w:rsidRDefault="00000000" w:rsidRPr="00000000" w14:paraId="00000058">
      <w:pPr>
        <w:spacing w:before="0" w:after="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before="0" w:after="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before="0" w:after="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 xml:space="preserve">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41.7%,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25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65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Pro Forma Hedging, </w:t>
      </w:r>
      <w:r>
        <w:rPr>
          <w:rFonts w:ascii="Georgia" w:cs="Georgia" w:eastAsia="Georgia" w:hAnsi="Georgia"/>
          <w:b w:val="0"/>
          <w:bCs w:val="0"/>
          <w:i w:val="0"/>
          <w:iCs w:val="0"/>
          <w:sz w:val="22"/>
          <w:szCs w:val="22"/>
          <w:rtl w:val="0"/>
        </w:rPr>
        <w:t xml:space="preserve">conceptually, pro forma hedging refers to the deployment of hedge-like lexical items (e.g., potential) in formulaic syntactic frames with limited commitment calibration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 xml:space="preserve">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results and conclusion frames that qualify a finding-claim are coded Lexical EC. The Working Test is applied as a secondary check: when removing the token clearly changes commitment to a proposition (e.g., "presence of potential mycobacterial infections" → "presence of mycobacterial infections"),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center"/>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1"/>
          <w:bCs w:val="1"/>
          <w:i w:val="0"/>
          <w:iCs w:val="0"/>
          <w:sz w:val="22"/>
          <w:szCs w:val="22"/>
          <w:rtl w:val="0"/>
        </w:rPr>
        <w:t xml:space="preserve">Inclusion Criteria. </w:t>
      </w:r>
      <w:r>
        <w:rPr>
          <w:rFonts w:ascii="Georgia" w:cs="Georgia" w:eastAsia="Georgia" w:hAnsi="Georgia"/>
          <w:b w:val="0"/>
          <w:bCs w:val="0"/>
          <w:i w:val="0"/>
          <w:iCs w:val="0"/>
          <w:sz w:val="22"/>
          <w:szCs w:val="22"/>
          <w:rtl w:val="0"/>
        </w:rPr>
        <w:t xml:space="preserve">English-language undergraduate thesis abstracts; complete abstracts available in the PSAU library archives; clear disciplinary classification based on official degree program; thesis completion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completed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Ethical Considerations. </w:t>
      </w:r>
      <w:r>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(Acs1–Acs10, Aas1–Aas10,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center"/>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included “suggests” (7), “indicating” (6), and “suggesting” (3). Modal verbs were led by “can” (9), “could” (7), and “may” (6). Concordance of the 19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15 of the 19 instances; Veterinary Medicine for 4.</w:t>
      </w:r>
      <w:r>
        <w:rPr>
          <w:rtl w:val="0"/>
        </w:rPr>
      </w:r>
    </w:p>
    <w:p w:rsidR="00000000" w:rsidDel="00000000" w:rsidP="00000000" w:rsidRDefault="00000000" w:rsidRPr="00000000" w14:paraId="000000E3">
      <w:pPr>
        <w:spacing w:before="0" w:after="0" w:line="480" w:lineRule="auto"/>
        <w:ind w:firstLine="720"/>
        <w:jc w:val="both"/>
        <w:rPr/>
      </w:pPr>
      <w:r>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Pr>
          <w:rtl w:val="0"/>
        </w:rPr>
      </w:r>
    </w:p>
    <w:p>
      <w:pPr>
        <w:keepNext w:val="1"/>
        <w:keepLines w:val="1"/>
        <w:spacing w:before="720" w:after="0" w:line="480" w:lineRule="auto"/>
        <w:jc w:val="center"/>
      </w:pPr>
      <w:r>
        <w:rPr>
          <w:rFonts w:ascii="Georgia" w:hAnsi="Georgia"/>
          <w:b/>
          <w:sz w:val="24"/>
        </w:rPr>
        <w:t>Table 3</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cs="Georgia" w:eastAsia="Georgia" w:hAnsi="Georgia"/>
          <w:b w:val="0"/>
          <w:bCs w:val="0"/>
          <w:i w:val="0"/>
          <w:iCs w:val="0"/>
          <w:sz w:val="22"/>
          <w:szCs w:val="22"/>
          <w:rtl w:val="0"/>
        </w:rPr>
        <w:t xml:space="preserve">Table 3 reveals that Agriculture has a nearly balanced distribution (14 modal verbs, 51.9% vs. 13 lexical hedges, 48.1%), while Biology is heavily lexical (20 of 28 hedges, 71.4%, with only 5 modal verbs). Veterinary Medicine, with only 10 total hedges, is also predominantly lexical (8 of 10, 80.0%).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Pr>
          <w:rtl w:val="0"/>
        </w:rPr>
      </w:r>
    </w:p>
    <w:p w:rsidR="00000000" w:rsidDel="00000000" w:rsidP="00000000" w:rsidRDefault="00000000" w:rsidRPr="00000000" w14:paraId="0000010B">
      <w:pPr>
        <w:spacing w:before="0" w:after="0" w:line="480" w:lineRule="auto"/>
        <w:ind w:firstLine="720"/>
        <w:jc w:val="both"/>
        <w:rPr/>
      </w:pPr>
      <w:r>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after applying the codebook’s Working Test.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Working Test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and are excluded from this zero-hedge count.)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41.7% zero-hedge rate in this corpus a sharp departure from expert norms.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Booster analysis of the 25 zero-hedge abstracts revealed a high density of assertive markers (on the order of three boosters per abstract on average).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 xml:space="preserve">L3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4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counts yielded H ≈ 6.84, p ≈ .033. Given the small sample size and zero-inflated distribution, this result is treated as exploratory rather than as confirmatory evidence of a disciplinary difference. A sensitivity check that removes all 19 instances of "potential" leaves 46 hedges; the Kruskal-Wallis contrast remains significant in the same direction (approximately p ≈ .025), and Veterinary Medicine’s zero-hedge share rises further. The directional pattern is therefore not an artifact of the "potential" tokens alone.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All 65 hedge tokens in the corpus served the function of Epistemic Caution (EC). No instances of Politeness/Deference (P) or Discourse Organization (DO) were identified. Table 5 presents the function distribution.</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Function Distribution</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IV: DISCIPLINE-SPECIFIC HEDGING PROFILES</w:t>
      </w:r>
      <w:r>
        <w:rPr>
          <w:rtl w:val="0"/>
        </w:rPr>
      </w:r>
    </w:p>
    <w:p w:rsidR="00000000" w:rsidDel="00000000" w:rsidP="00000000" w:rsidRDefault="00000000" w:rsidRPr="00000000" w14:paraId="00000160">
      <w:pPr>
        <w:spacing w:before="0" w:after="0" w:line="480" w:lineRule="auto"/>
        <w:ind w:firstLine="720"/>
        <w:jc w:val="both"/>
        <w:rPr/>
      </w:pPr>
      <w:r>
        <w:rPr>
          <w:rFonts w:ascii="Gungsuh" w:cs="Gungsuh" w:eastAsia="Gungsuh" w:hAnsi="Gungsuh"/>
          <w:rtl w:val="0"/>
        </w:rPr>
        <w:t xml:space="preserve">Parts I through III show three observable patterns in this corpus. As reported in Part II, an exploratory Kruskal-Wallis test reached p ≈ .033; the chi-square on zero-hedge rates was p = .079,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before="0" w:after="0" w:line="480" w:lineRule="auto"/>
        <w:ind w:firstLine="720"/>
        <w:jc w:val="both"/>
        <w:rPr/>
      </w:pPr>
      <w:r>
        <w:rPr>
          <w:rtl w:val="0"/>
        </w:rPr>
        <w:t xml:space="preserve">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rsidR="00000000" w:rsidDel="00000000" w:rsidP="00000000" w:rsidRDefault="00000000" w:rsidRPr="00000000" w14:paraId="00000162">
      <w:pPr>
        <w:spacing w:before="0" w:after="0" w:line="480" w:lineRule="auto"/>
        <w:ind w:firstLine="720"/>
        <w:jc w:val="both"/>
        <w:rPr/>
      </w:pPr>
      <w:r>
        <w:rPr>
          <w:rFonts w:ascii="Georgia" w:cs="Georgia" w:eastAsia="Georgia" w:hAnsi="Georgia"/>
          <w:b w:val="0"/>
          <w:bCs w:val="0"/>
          <w:i w:val="0"/>
          <w:iCs w:val="0"/>
          <w:sz w:val="22"/>
          <w:szCs w:val="22"/>
          <w:rtl w:val="0"/>
        </w:rPr>
        <w:t xml:space="preserve">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r>
        <w:rPr>
          <w:rtl w:val="0"/>
        </w:rPr>
      </w:r>
    </w:p>
    <w:p w:rsidR="00000000" w:rsidDel="00000000" w:rsidP="00000000" w:rsidRDefault="00000000" w:rsidRPr="00000000" w14:paraId="0000016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r>
        <w:rPr>
          <w:rtl w:val="0"/>
        </w:rPr>
      </w:r>
    </w:p>
    <w:p w:rsidR="00000000" w:rsidDel="00000000" w:rsidP="00000000" w:rsidRDefault="00000000" w:rsidRPr="00000000" w14:paraId="00000164">
      <w:pPr>
        <w:spacing w:before="0" w:after="0" w:line="480" w:lineRule="auto"/>
        <w:ind w:firstLine="720"/>
        <w:jc w:val="both"/>
        <w:rPr/>
      </w:pPr>
      <w:r>
        <w:rPr>
          <w:rFonts w:ascii="Georgia" w:cs="Georgia" w:eastAsia="Georgia" w:hAnsi="Georgia"/>
          <w:b w:val="0"/>
          <w:bCs w:val="0"/>
          <w:i w:val="0"/>
          <w:iCs w:val="0"/>
          <w:sz w:val="22"/>
          <w:szCs w:val="22"/>
          <w:rtl w:val="0"/>
        </w:rPr>
        <w:t xml:space="preserve">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r>
        <w:rPr>
          <w:rtl w:val="0"/>
        </w:rPr>
      </w:r>
    </w:p>
    <w:p w:rsidR="00000000" w:rsidDel="00000000" w:rsidP="00000000" w:rsidRDefault="00000000" w:rsidRPr="00000000" w14:paraId="00000165">
      <w:pPr>
        <w:spacing w:before="0" w:after="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before="0" w:after="0" w:line="480" w:lineRule="auto"/>
        <w:ind w:firstLine="720"/>
        <w:jc w:val="both"/>
        <w:rPr/>
      </w:pPr>
      <w:r>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Pr>
          <w:rtl w:val="0"/>
        </w:rPr>
      </w:r>
    </w:p>
    <w:p w:rsidR="00000000" w:rsidDel="00000000" w:rsidP="00000000" w:rsidRDefault="00000000" w:rsidRPr="00000000" w14:paraId="00000167">
      <w:pPr>
        <w:spacing w:before="0" w:after="0" w:line="480" w:lineRule="auto"/>
        <w:ind w:firstLine="720"/>
        <w:jc w:val="both"/>
        <w:rPr/>
      </w:pPr>
      <w:r>
        <w:rPr>
          <w:rtl w:val="0"/>
        </w:rPr>
        <w:t xml:space="preserve">Three observations support a descriptive label of pro forma hedging, not a confirmed construct: (1) potential accounts for a large share of lexical hedges and recurs in near-identical frames (Part I); (2) all retained hedges serve a single function (Part III); (3) 25 of 60 abstracts contain no hedges at all (Part II). These tokens are counted as hedges by form, position, and Working Test. “Pro forma” describes how they behave in the corpus (formulaic frames, single function, limited commitment calibration), not a claim that they fail the Working Test or should be excluded from density.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formulaic potential. Density is highest in Agriculture and Biology (near-tied), then Veterinary Medicine, with 25 of 60 abstracts (41.7%) containing no coded hedges. Every retained hedge was coded as Epistemic Caution.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 xml:space="preserve">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exploratory (Kruskal-Wallis p ≈ .033) and the sample is small. The study provides a local baseline, not a general law.</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 xml:space="preserve">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Pr>
          <w:rtl w:val="0"/>
        </w:rPr>
        <w:t xml:space="preserve">groups</w:t>
      </w:r>
      <w:r>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left"/>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left"/>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left"/>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left"/>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left"/>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left"/>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 xml:space="preserve">rEFLections, 32</w:t>
      </w:r>
      <w:r>
        <w:rPr>
          <w:rFonts w:ascii="Georgia" w:cs="Georgia" w:eastAsia="Georgia" w:hAnsi="Georgia"/>
          <w:b w:val="0"/>
          <w:bCs w:val="0"/>
          <w:i w:val="0"/>
          <w:iCs w:val="0"/>
          <w:sz w:val="22"/>
          <w:szCs w:val="22"/>
          <w:rtl w:val="0"/>
        </w:rPr>
        <w:t xml:space="preserve">(2), 951–970.</w:t>
      </w:r>
      <w:r>
        <w:rPr>
          <w:rtl w:val="0"/>
        </w:rPr>
      </w:r>
    </w:p>
    <w:p w:rsidR="00000000" w:rsidDel="00000000" w:rsidP="00000000" w:rsidRDefault="00000000" w:rsidRPr="00000000" w14:paraId="00000190">
      <w:pPr>
        <w:spacing w:before="0" w:after="0" w:line="480" w:lineRule="auto"/>
        <w:ind w:left="720" w:hanging="720"/>
        <w:jc w:val="left"/>
        <w:rPr/>
      </w:pPr>
      <w:r>
        <w:rPr>
          <w:rFonts w:ascii="Georgia" w:cs="Georgia" w:eastAsia="Georgia" w:hAnsi="Georgia"/>
          <w:b w:val="0"/>
          <w:bCs w:val="0"/>
          <w:i w:val="0"/>
          <w:iCs w:val="0"/>
          <w:sz w:val="22"/>
          <w:szCs w:val="22"/>
          <w:rtl w:val="0"/>
        </w:rPr>
        <w:t xml:space="preserve">https://doi.org/10.47772/IJRISS.2025.91100485</w:t>
      </w:r>
      <w:r>
        <w:rPr>
          <w:rtl w:val="0"/>
        </w:rPr>
      </w:r>
    </w:p>
    <w:p w:rsidR="00000000" w:rsidDel="00000000" w:rsidP="00000000" w:rsidRDefault="00000000" w:rsidRPr="00000000" w14:paraId="00000192">
      <w:pPr>
        <w:spacing w:before="0" w:after="0" w:line="480" w:lineRule="auto"/>
        <w:ind w:left="720" w:hanging="720"/>
        <w:jc w:val="left"/>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rsidR="00000000" w:rsidDel="00000000" w:rsidP="00000000" w:rsidRDefault="00000000" w:rsidRPr="00000000" w14:paraId="00000193">
      <w:pPr>
        <w:spacing w:before="0" w:after="0" w:line="480" w:lineRule="auto"/>
        <w:ind w:left="720" w:hanging="720"/>
        <w:jc w:val="left"/>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left"/>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left"/>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left"/>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left"/>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left"/>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Lines w:val="1"/>
        <w:pageBreakBefore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cs="Cardo" w:eastAsia="Cardo" w:hAnsi="Georgia"/>
          <w:sz w:val="24"/>
          <w:szCs w:val="24"/>
          <w:rtl w:val="0"/>
          <w:i/>
          <w:iCs/>
        </w:rPr>
        <w:t xml:space="preserve">suggest / indicate →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cs="Cardo" w:eastAsia="Cardo" w:hAnsi="Georgia"/>
          <w:sz w:val="24"/>
          <w:szCs w:val="24"/>
          <w:rtl w:val="0"/>
          <w:i/>
          <w:iCs/>
        </w:rPr>
        <w:t xml:space="preserve">can / may →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cs="Cardo" w:eastAsia="Cardo" w:hAnsi="Georgia"/>
          <w:sz w:val="24"/>
          <w:szCs w:val="24"/>
          <w:rtl w:val="0"/>
          <w:i/>
          <w:iCs/>
        </w:rPr>
        <w:t xml:space="preserve">generally / typically →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cs="Cardo" w:eastAsia="Cardo" w:hAnsi="Georgia"/>
          <w:sz w:val="24"/>
          <w:szCs w:val="24"/>
          <w:rtl w:val="0"/>
          <w:i/>
          <w:iCs/>
        </w:rPr>
        <w:t xml:space="preserve">appear / seem →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pPr/>
      <w:r>
        <w:br w:type="page"/>
      </w:r>
    </w:p>
    <w:p w:rsidR="00000000" w:rsidDel="00000000" w:rsidP="00000000" w:rsidRDefault="00000000" w:rsidRPr="00000000" w14:paraId="00000233">
      <w:pPr>
        <w:keepNext w:val="1"/>
        <w:spacing w:before="60" w:after="0" w:line="312"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312"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312"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312"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312"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312"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312"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312"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312"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312"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312"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312"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312"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312"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60" w:after="0" w:line="312"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color w:val="000000"/>
        </w:rPr>
        <w:t xml:space="preserve"> that C. longa extracts are </w:t>
      </w:r>
      <w:r>
        <w:rPr>
          <w:highlight w:val="red"/>
          <w:color w:val="ffffff"/>
        </w:rPr>
        <w:t>potential</w:t>
      </w:r>
      <w:r>
        <w:rPr>
          <w:color w:val="000000"/>
        </w:rPr>
        <w:t xml:space="preserve"> </w:t>
      </w:r>
      <w:r>
        <w:rPr>
          <w:color w:val="ed7d31"/>
        </w:rPr>
        <w:t>(EC)</w:t>
      </w:r>
      <w:r>
        <w:rPr>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12"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120" w:after="0" w:line="312"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312"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312"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312"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312"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0" w:line="312"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12"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312"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312"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0" w:line="312"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312"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312"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pPr>
        <w:spacing w:line="312" w:lineRule="auto"/>
      </w:pPr>
      <w:r>
        <w:br w:type="page"/>
      </w:r>
    </w:p>
    <w:p w:rsidR="00000000" w:rsidDel="00000000" w:rsidP="00000000" w:rsidRDefault="00000000" w:rsidRPr="00000000" w14:paraId="000001B4">
      <w:pPr>
        <w:keepNext w:val="1"/>
        <w:pageBreakBefore w:val="1"/>
        <w:spacing w:before="720" w:after="12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sz w:val="22"/>
          <w:szCs w:val="22"/>
          <w:rtl w:val="0"/>
        </w:rPr>
        <w:t>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“posed potential health risks” → “posed health risks”), code as Lexical EC even in a rationale sentence.</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left"/>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left"/>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 xml:space="preserve">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potential (EC)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Magalang.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center"/>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Therefore,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2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