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2"/>
          <w:szCs w:val="22"/>
        </w:rPr>
        <w:t>Table 4</w:t>
      </w:r>
    </w:p>
    <w:p>
      <w:pPr>
        <w:keepNext w:val="1"/>
        <w:spacing w:before="0" w:after="60" w:line="480" w:lineRule="auto"/>
        <w:jc w:val="center"/>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b/>
          <w:bCs/>
        </w:rPr>
        <w:t xml:space="preserve">Functions:</w:t>
      </w:r>
      <w:r>
        <w:rPr>
          <w:rFonts w:ascii="Georgia" w:hAnsi="Georgia" w:cs="Georgia" w:eastAsia="Georgia"/>
          <w:sz w:val="22"/>
          <w:szCs w:val="22"/>
          <w:rtl w:val="0"/>
        </w:rPr>
        <w:t xml:space="preserve">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b/>
          <w:bCs/>
        </w:rPr>
        <w:t xml:space="preserve">Core rules:</w:t>
      </w:r>
      <w:r>
        <w:rPr>
          <w:rFonts w:ascii="Georgia" w:hAnsi="Georgia" w:cs="Georgia" w:eastAsia="Georgia"/>
          <w:sz w:val="22"/>
          <w:szCs w:val="22"/>
          <w:rtl w:val="0"/>
        </w:rPr>
        <w:t xml:space="preserve">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b/>
          <w:bCs/>
        </w:rPr>
        <w:t xml:space="preserve">Steps 1–3:</w:t>
      </w:r>
      <w:r>
        <w:rPr>
          <w:rFonts w:ascii="Georgia" w:hAnsi="Georgia" w:cs="Georgia" w:eastAsia="Georgia"/>
          <w:sz w:val="22"/>
          <w:szCs w:val="22"/>
        </w:rPr>
        <w:t xml:space="preserve">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i w:val="0"/>
          <w:iCs w:val="0"/>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DO</w:t>
            </w:r>
            <w:r>
              <w:rPr>
                <w:rFonts w:ascii="Georgia" w:cs="Georgia" w:eastAsia="Georgia" w:hAnsi="Georgia"/>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i w:val="0"/>
          <w:iCs w:val="0"/>
          <w:sz w:val="24"/>
          <w:szCs w:val="24"/>
          <w:rtl w:val="0"/>
          <w:b/>
          <w:bCs/>
        </w:rPr>
        <w:t>COMBINED EXAMPLE</w:t>
      </w:r>
      <w:r>
        <w:rPr>
          <w:rtl w:val="0"/>
          <w:sz w:val="24"/>
          <w:szCs w:val="24"/>
        </w:rPr>
      </w:r>
    </w:p>
    <w:p w:rsidR="00000000" w:rsidDel="00000000" w:rsidP="00000000" w:rsidRDefault="00000000" w:rsidRPr="00000000" w14:paraId="00000244">
      <w:pPr>
        <w:spacing w:before="0" w:after="0" w:line="288" w:lineRule="auto"/>
        <w:ind w:firstLine="720"/>
        <w:jc w:val="both"/>
        <w:rPr/>
      </w:pPr>
      <w:r>
        <w:rPr>
          <w:rFonts w:ascii="Georgia" w:hAnsi="Georgia" w:cs="Georgia" w:eastAsia="Georgia"/>
          <w:i w:val="1"/>
          <w:iCs w:val="1"/>
          <w:color w:val="000000"/>
          <w:sz w:val="22"/>
          <w:szCs w:val="22"/>
          <w:rtl w:val="0"/>
        </w:rPr>
        <w:t xml:space="preserve">“The results suggested (EC) that extracts are potential (EC) alternative stains. PCR can (FP-Cap) also detect low concentrations.” Type color = type; (EC) orange; FP struck.</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i w:val="0"/>
          <w:iCs w:val="0"/>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i w:val="0"/>
          <w:iCs w:val="0"/>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i w:val="0"/>
          <w:iCs w:val="0"/>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i w:val="0"/>
          <w:iCs w:val="0"/>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i w:val="0"/>
          <w:iCs w:val="0"/>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i w:val="0"/>
          <w:iCs w:val="0"/>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999999999998"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