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Expert writers hedge to present claims with caution rather than absolute certainty. That finding is well established. Hyland (1998) showed that hedging is a core rhetorical resource, not just a matter of style. Writers use devices such as may, suggest, or generally to signal epistemic stance and to participate in their disciplinary communities. A gap remains. Expert norms are well documented, but less is known about how undergraduate thesis writers handle these conventions. They face the same genre expectations without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state findings categorically instead of hedging, they risk treating provisional results as settled. Overstated claims can lead to misuse of data or unproven practices. Teaching developing researchers to manage epistemic stance is therefore not only a writing skill but a practical responsibility in these fields.</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limits for the present work.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None of the three studies is set in a Philippine L2 context. This study addresses both the genre gap (abstracts rather than full sections) and the Philippine L2 context missing from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Rahayu and Suhartono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(Rahayu &amp; Suhartono,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No published study identified in this review has examined hedging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was the official medium of academic writing instruction at PSAU despite being a second language for most of the population. Hedging was not a standard component of academic writing curricula in most Philippine universities, which tended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of EC is a notable finding, though it requires a caveat about coder reliability.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 However, this functional uniformity must be interpreted in light of two limitations. First, reliability was assessed through intra-rater agreement only (κ = 0.89); without a second independent coder, it is not possible to determine whether the uniform EC assignment reflects the corpus itself or the application of a single interpretive frame. Second, as noted below, the abstract genre may itself suppress interactional functions regardless of writer sophistication. The functional finding is therefore reported as observed in this corpus, not as established.</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t>The present study cannot distinguish between these two explanations without a comparable expert-abstract corpus, but the genre-constraint interpretation is worth noting as a competing explanation for the functional narrowness observed. Future research with a matched expert-abstract comparison corpus is needed to disentangle genre effects from writer-competence effects. Without such a comparison, the functional uniformity observed here should not be taken as evidence of writer deficit.</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Taken together, three patterns in the data are consistent with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w:t>
      </w:r>
    </w:p>
    <w:p>
      <w:pPr>
        <w:spacing w:line="480" w:lineRule="auto" w:before="0" w:after="0"/>
        <w:ind w:firstLine="720"/>
        <w:jc w:val="both"/>
      </w:pPr>
      <w:r>
        <w:t>The term pro forma hedging is offered here not as an established theoretical construct but as a descriptive label for an observed gap between lexical acquisition and epistemic deployment. The label is supported by three observations within a single corpus; it has not been validated through independent coding, comparison with an expert-abstract corpus, or replication in other L2 contexts. The label should therefore be read as a hypothesis-generating observation, not as a confirmed phenomenon. Subsequent research with inter-rater coding, an expert-abstract comparison corpus, and replication across institutions and disciplines would be needed before the term could be treated as a stable construct. Within the present study, the label serves a heuristic purpose: it identifies a pattern worth investigating, not a finding that has been established.</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in this corpus (60.0% vs 35.0%). That inverts the pattern in most prior studies of developing researchers, where modal verbs dominate (Khunasathitchai et al., 2025; Wang, 2022). The inversion is driven mainly by the token “potential,” which makes up 38.9% of all lexical hedges. Hedging here tends to appear in implications and applications rather than in the reporting of findings themselves.</w:t>
      </w:r>
    </w:p>
    <w:p>
      <w:pPr>
        <w:spacing w:line="480" w:lineRule="auto" w:before="0" w:after="0"/>
        <w:ind w:firstLine="720"/>
        <w:jc w:val="both"/>
      </w:pPr>
      <w:r>
        <w:rPr>
          <w:rFonts w:ascii="Georgia" w:hAnsi="Georgia" w:eastAsia="Georgia"/>
          <w:b w:val="0"/>
          <w:i w:val="0"/>
          <w:sz w:val="22"/>
        </w:rPr>
        <w:t>Hedge density varies across disciplines, though not as the literature would predict. Agriculture (0.60 per 100 words) hedges more than Biology (0.55). Veterinary Medicine sits far lower at 0.18. The pattern does not match Afshar et al. (2014), who found agriculture using the fewest hedges among comparable fields. The difference likely stems from the gap between expert research articles and undergraduate thesis abstracts, and from the specific epistemic demands of each field at PSAU. Veterinary Medicine’s low density is driven by a 65% zero-hedge rate. That absence of overt hedging may reflect the binary character of many clinical diagnostic outcomes.</w:t>
      </w:r>
    </w:p>
    <w:p>
      <w:pPr>
        <w:spacing w:line="480" w:lineRule="auto" w:before="0" w:after="0"/>
        <w:ind w:firstLine="720"/>
        <w:jc w:val="both"/>
      </w:pPr>
      <w:r>
        <w:rPr>
          <w:rFonts w:ascii="Georgia" w:hAnsi="Georgia" w:eastAsia="Georgia"/>
          <w:b w:val="0"/>
          <w:i w:val="0"/>
          <w:sz w:val="22"/>
        </w:rPr>
        <w:t>Every hedge in this corpus serves Epistemic Caution. No politeness or discourse-organization hedges appear. The narrow functional range may come from a restricted repertoire, from the compressed abstract genre, or from the coding scheme itself. The pattern fits earlier findings on developing L2 writers (Hyland &amp; Milton, 1997).</w:t>
      </w:r>
    </w:p>
    <w:p>
      <w:pPr>
        <w:spacing w:line="480" w:lineRule="auto" w:before="0" w:after="0"/>
        <w:ind w:firstLine="720"/>
        <w:jc w:val="both"/>
      </w:pPr>
      <w:r>
        <w:t>The discipline-specific patterns observed in this corpus suggest differences in epistemic stance, though the statistical evidence is borderline (Kruskal-Wallis p = .049) and the Agriculture-Biology contrast is outlier-dependent. The most defensible contrast is Veterinary Medicine's distinct pattern: its 65% zero-hedge rate and 0.18 density are substantially different from both Agriculture and Biology. Agriculture shows a tendency toward cautious implication, hedging applications while stating findings as settled, though this is partly driven by a single outlier abstract (Acs2). Biology shows lexical caution with heavy reliance on “potential” and “suggesting,” much of which is non-epistemic (topic-naming in aim statements). Veterinary Medicine shows assertive reporting, with over half of its abstracts containing zero hedges and the highest count of unhedged assertion sites. Where these patterns hold, they are consistent with Salager-Meyer's (1994) framework: each discipline may create distinct epistemic demands that shape how writers distribute claim responsibility, even at the undergraduate level. Generalization beyond this corpus, however, is not warranted.</w:t>
      </w:r>
    </w:p>
    <w:p>
      <w:pPr>
        <w:spacing w:line="480" w:lineRule="auto" w:before="0" w:after="0"/>
        <w:ind w:firstLine="720"/>
        <w:jc w:val="both"/>
      </w:pPr>
      <w:r>
        <w:rPr>
          <w:rFonts w:ascii="Georgia" w:hAnsi="Georgia" w:eastAsia="Georgia"/>
          <w:b w:val="0"/>
          <w:i w:val="0"/>
          <w:sz w:val="22"/>
        </w:rPr>
        <w:t>Nearly half the abstracts (46.7%) contain no hedges at all. That rate is far higher than the expert-writing literature would lead one to expect, where hedges are common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looks like pro forma hedging: the lexical form without the epistemic work. “Potential” alone accounts for 38.9% of lexical hedges, every hedge is coded as Epistemic Caution, and the frames are formulaic. The pattern suggests that these writers acquire the shell of hedging without its function. Teaching more hedge vocabulary will not fix that. Instruction has to target function, not only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where zero-hedge rates are highest (as observed in the Veterinary Medicine sample).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is unlikely to address the pattern observed in this corpus.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E-FLT (Electronic Journal of Foreign Language Teaching), 16</w:t>
      </w:r>
      <w:r>
        <w:rPr>
          <w:rFonts w:ascii="Georgia" w:hAnsi="Georgia" w:eastAsia="Georgia"/>
          <w:b w:val="0"/>
          <w:i w:val="0"/>
          <w:sz w:val="22"/>
        </w:rPr>
        <w:t>(1), 1–22. https://e-flt.nus.edu.sg/wp-content/uploads/2020/09/petchkij.pdf</w:t>
      </w:r>
    </w:p>
    <w:p>
      <w:pPr>
        <w:spacing w:line="480" w:lineRule="auto" w:before="0" w:after="0"/>
        <w:ind w:left="720" w:hanging="720"/>
        <w:jc w:val="left"/>
      </w:pPr>
      <w:r>
        <w:rPr>
          <w:rFonts w:ascii="Georgia" w:hAnsi="Georgia" w:eastAsia="Georgia"/>
          <w:b w:val="0"/>
          <w:i w:val="0"/>
          <w:sz w:val="22"/>
        </w:rPr>
        <w:t xml:space="preserve">Rahayu, S., &amp; Suhartono, S.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E: SECOND CODING SAMPLE</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a targeted diagnostic subsample of 6 abstracts selected to stress-test the revised decision rules described in the Coding Revisions and Borderline Cases section. The sample was not randomly drawn; it was constructed to include edge cases that exercise the multi-hedge isolation rule, the extended indicating tautology test, the potential structural-position rule in both directions, and a Veterinary Medicine zero-hedge abstract whose coding is load-bearing for the assertive reporting profile. The raw text is presented first for independent coding, followed by the coded version with all marks applied.</w:t>
      </w:r>
    </w:p>
    <w:p>
      <w:pPr>
        <w:keepNext/>
        <w:keepLines/>
        <w:spacing w:before="240" w:after="240" w:line="480" w:lineRule="auto"/>
        <w:jc w:val="left"/>
      </w:pPr>
      <w:r>
        <w:rPr>
          <w:rFonts w:ascii="Georgia" w:hAnsi="Georgia" w:eastAsia="Georgia"/>
          <w:b w:val="0"/>
          <w:i/>
          <w:sz w:val="24"/>
        </w:rPr>
        <w:t>Selection Rationale</w:t>
      </w:r>
    </w:p>
    <w:p>
      <w:pPr>
        <w:spacing w:line="480" w:lineRule="auto" w:before="0" w:after="0"/>
        <w:jc w:val="both"/>
      </w:pPr>
      <w:r>
        <w:rPr>
          <w:rFonts w:ascii="Georgia" w:hAnsi="Georgia" w:eastAsia="Georgia"/>
          <w:b w:val="0"/>
          <w:i w:val="0"/>
          <w:sz w:val="22"/>
        </w:rPr>
        <w:t>B18: Clean baseline. A single, isolated suggests with no other flagged tokens nearby. If disagreement arises here, something is wrong beyond the revised rules.</w:t>
      </w:r>
    </w:p>
    <w:p>
      <w:pPr>
        <w:spacing w:line="480" w:lineRule="auto" w:before="0" w:after="0"/>
        <w:jc w:val="both"/>
      </w:pPr>
      <w:r>
        <w:rPr>
          <w:rFonts w:ascii="Georgia" w:hAnsi="Georgia" w:eastAsia="Georgia"/>
          <w:b w:val="0"/>
          <w:i w:val="0"/>
          <w:sz w:val="22"/>
        </w:rPr>
        <w:t>Acs1: Edge case for the multi-hedge isolation rule. Contains the suggests that... can significantly enhance stacking pattern that motivated the rule. The can was reclassified from Modal EC to FP-Cap during the revision pass.</w:t>
      </w:r>
    </w:p>
    <w:p>
      <w:pPr>
        <w:spacing w:line="480" w:lineRule="auto" w:before="0" w:after="0"/>
        <w:jc w:val="both"/>
      </w:pPr>
      <w:r>
        <w:rPr>
          <w:rFonts w:ascii="Georgia" w:hAnsi="Georgia" w:eastAsia="Georgia"/>
          <w:b w:val="0"/>
          <w:i w:val="0"/>
          <w:sz w:val="22"/>
        </w:rPr>
        <w:t>Aas8: Edge case for the extended indicating tautology test. Contains indicating superior feed efficiency, reclassified from Lexical EC to FP-Gen because lower feed conversion ratio is the definitional measure of superior feed efficiency in animal nutrition.</w:t>
      </w:r>
    </w:p>
    <w:p>
      <w:pPr>
        <w:spacing w:line="480" w:lineRule="auto" w:before="0" w:after="0"/>
        <w:jc w:val="both"/>
      </w:pPr>
      <w:r>
        <w:rPr>
          <w:rFonts w:ascii="Georgia" w:hAnsi="Georgia" w:eastAsia="Georgia"/>
          <w:b w:val="0"/>
          <w:i w:val="0"/>
          <w:sz w:val="22"/>
        </w:rPr>
        <w:t>B1: Both directions of the potential structural-position rule. The same word is coded oppositely twice in one abstract: once rejected as topic-naming in the aim sentence, once confirmed as a hedge in the conclusion.</w:t>
      </w:r>
    </w:p>
    <w:p>
      <w:pPr>
        <w:spacing w:line="480" w:lineRule="auto" w:before="0" w:after="0"/>
        <w:jc w:val="both"/>
      </w:pPr>
      <w:r>
        <w:rPr>
          <w:rFonts w:ascii="Georgia" w:hAnsi="Georgia" w:eastAsia="Georgia"/>
          <w:b w:val="0"/>
          <w:i w:val="0"/>
          <w:sz w:val="22"/>
        </w:rPr>
        <w:t>B20: Dense rejection cluster. Contains two aim-statement potential rejections, one factive indicate rejection, and one confirmed suggesting hedge, testing whether rejection logic holds under volume.</w:t>
      </w:r>
    </w:p>
    <w:p>
      <w:pPr>
        <w:spacing w:line="480" w:lineRule="auto" w:before="0" w:after="0"/>
        <w:jc w:val="both"/>
      </w:pPr>
      <w:r>
        <w:rPr>
          <w:rFonts w:ascii="Georgia" w:hAnsi="Georgia" w:eastAsia="Georgia"/>
          <w:b w:val="0"/>
          <w:i w:val="0"/>
          <w:sz w:val="22"/>
        </w:rPr>
        <w:t>VM3: Veterinary Medicine zero-hedge abstract. VM's 65% zero-hedge rate is load-bearing for the assertive reporting profile. A second look that turns up a missed hedge would be the finding most worth catching before defense.</w:t>
      </w:r>
    </w:p>
    <w:p>
      <w:pPr>
        <w:keepNext/>
        <w:keepLines/>
        <w:spacing w:before="240" w:after="240" w:line="480" w:lineRule="auto"/>
        <w:jc w:val="left"/>
      </w:pPr>
      <w:r>
        <w:rPr>
          <w:rFonts w:ascii="Georgia" w:hAnsi="Georgia" w:eastAsia="Georgia"/>
          <w:b w:val="0"/>
          <w:i/>
          <w:sz w:val="24"/>
        </w:rPr>
        <w:t>Coded Abstracts</w:t>
      </w:r>
    </w:p>
    <w:p>
      <w:pPr>
        <w:spacing w:line="480" w:lineRule="auto" w:before="0" w:after="0"/>
        <w:ind w:firstLine="720"/>
        <w:jc w:val="both"/>
      </w:pPr>
      <w:r>
        <w:rPr>
          <w:rFonts w:ascii="Georgia" w:hAnsi="Georgia" w:eastAsia="Georgia"/>
          <w:b w:val="0"/>
          <w:i w:val="0"/>
          <w:sz w:val="22"/>
        </w:rPr>
        <w:t>The 6 abstracts are presented below with all coding marks applied per the revised codebook. The raw uncoded text is available separately as 009_2ndRawCorpus.docx for independent second coding using the revised codebook.</w:t>
      </w:r>
    </w:p>
    <w:p>
      <w:pPr>
        <w:spacing w:before="240" w:after="120" w:line="480" w:lineRule="auto"/>
        <w:jc w:val="left"/>
      </w:pPr>
      <w:r>
        <w:rPr>
          <w:rFonts w:ascii="Georgia" w:hAnsi="Georgia" w:eastAsia="Georgia"/>
          <w:b/>
          <w:i w:val="0"/>
          <w:sz w:val="24"/>
        </w:rPr>
        <w:t>B18  ·  286 words  ·  1 hedges  ·  0.35 per 100 words</w:t>
      </w:r>
    </w:p>
    <w:p>
      <w:pPr>
        <w:spacing w:line="480" w:lineRule="auto"/>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240" w:after="120" w:line="480" w:lineRule="auto"/>
        <w:jc w:val="left"/>
      </w:pPr>
      <w:r>
        <w:rPr>
          <w:rFonts w:ascii="Georgia" w:hAnsi="Georgia" w:eastAsia="Georgia"/>
          <w:b/>
          <w:i w:val="0"/>
          <w:sz w:val="24"/>
        </w:rPr>
        <w:t>Acs1  ·  203 words  ·  1 hedges  ·  0.49 per 100 words</w:t>
      </w:r>
    </w:p>
    <w:p>
      <w:pPr>
        <w:spacing w:line="480" w:lineRule="auto"/>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240" w:after="120" w:line="480" w:lineRule="auto"/>
        <w:jc w:val="left"/>
      </w:pPr>
      <w:r>
        <w:rPr>
          <w:rFonts w:ascii="Georgia" w:hAnsi="Georgia" w:eastAsia="Georgia"/>
          <w:b/>
          <w:i w:val="0"/>
          <w:sz w:val="24"/>
        </w:rPr>
        <w:t>Aas8  ·  186 words  ·  0 hedges  ·  0.0 per 100 words</w:t>
      </w:r>
    </w:p>
    <w:p>
      <w:pPr>
        <w:spacing w:line="480" w:lineRule="auto"/>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240" w:after="120" w:line="480" w:lineRule="auto"/>
        <w:jc w:val="left"/>
      </w:pPr>
      <w:r>
        <w:rPr>
          <w:rFonts w:ascii="Georgia" w:hAnsi="Georgia" w:eastAsia="Georgia"/>
          <w:b/>
          <w:i w:val="0"/>
          <w:sz w:val="24"/>
        </w:rPr>
        <w:t>B1  ·  258 words  ·  2 hedges  ·  0.78 per 100 words</w:t>
      </w:r>
    </w:p>
    <w:p>
      <w:pPr>
        <w:spacing w:line="480" w:lineRule="auto"/>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240" w:after="120" w:line="480" w:lineRule="auto"/>
        <w:jc w:val="left"/>
      </w:pPr>
      <w:r>
        <w:rPr>
          <w:rFonts w:ascii="Georgia" w:hAnsi="Georgia" w:eastAsia="Georgia"/>
          <w:b/>
          <w:i w:val="0"/>
          <w:sz w:val="24"/>
        </w:rPr>
        <w:t>B20  ·  223 words  ·  1 hedges  ·  0.45 per 100 words</w:t>
      </w:r>
    </w:p>
    <w:p>
      <w:pPr>
        <w:spacing w:line="480" w:lineRule="auto"/>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240" w:after="120" w:line="480" w:lineRule="auto"/>
        <w:jc w:val="left"/>
      </w:pPr>
      <w:r>
        <w:rPr>
          <w:rFonts w:ascii="Georgia" w:hAnsi="Georgia" w:eastAsia="Georgia"/>
          <w:b/>
          <w:i w:val="0"/>
          <w:sz w:val="24"/>
        </w:rPr>
        <w:t>VM3  ·  296 words  ·  0 hedges  ·  0.0 per 100 words</w:t>
      </w:r>
    </w:p>
    <w:p>
      <w:pPr>
        <w:spacing w:line="480" w:lineRule="auto"/>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