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b w:val="1"/>
          <w:bCs w:val="1"/>
          <w:rtl w:val="0"/>
        </w:rPr>
        <w:t xml:space="preserve">For writing instructors and thesis advisers at PSAU, </w:t>
      </w:r>
      <w:r>
        <w:rPr>
          <w:rFonts w:ascii="Georgia" w:hAnsi="Georgia" w:cs="Georgia" w:eastAsia="Georgia"/>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b w:val="1"/>
          <w:bCs w:val="1"/>
          <w:rtl w:val="0"/>
        </w:rPr>
        <w:t xml:space="preserve">For academic writing researchers, </w:t>
      </w:r>
      <w:r>
        <w:rPr>
          <w:rFonts w:ascii="Georgia" w:hAnsi="Georgia" w:cs="Georgia" w:eastAsia="Georgia"/>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b w:val="1"/>
          <w:bCs w:val="1"/>
          <w:rtl w:val="0"/>
        </w:rPr>
        <w:t xml:space="preserve">For the BAELS program, </w:t>
      </w:r>
      <w:r>
        <w:rPr>
          <w:rFonts w:ascii="Georgia" w:hAnsi="Georgia" w:cs="Georgia" w:eastAsia="Georgia"/>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b w:val="1"/>
          <w:bCs w:val="1"/>
          <w:rtl w:val="0"/>
        </w:rPr>
        <w:t xml:space="preserve">For future researchers, </w:t>
      </w:r>
      <w:r>
        <w:rPr>
          <w:rFonts w:ascii="Georgia" w:hAnsi="Georgia" w:cs="Georgia" w:eastAsia="Georgia"/>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b. Corpus Construction.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 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3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Unhedged sites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Abstracts within a program may share advisers, so observations are not fully independent, and within-discipline spread remains larger than the gaps between means. With a small, zero-inflated sample and no multiple-comparison correction, the result is treated as exploratory.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All 65 retained hedges were coded Epistemic Caution (EC). No Politeness/Deference (P) or Discourse Organization (DO) hedges were identified. Discourse connectors such as Hence, Thus, Therefore, and In conclusion appear in the corpus and are tagged (DO) in Appendix C but are not counted as hedges. Table 5 presents the function distribution.</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sz w:val="22"/>
          <w:szCs w:val="22"/>
        </w:rPr>
        <w:t>Parts I through III map frequency, function, and cross-disciplinary density. The contrasts below are exploratory descriptions of what was observed here, not stable discipline-level characteristics. As reported in Part II, the Kruskal-Wallis test on rates reached p = .025 and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 xml:space="preserve">Table 6</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is still worth noting on its own terms: the writer reports that statistical significance was not observed, then hedges that the treatment could still offer potential benefits, a rescue framing that matches the introduction’s concern with overclaiming. It cannot support a Null/NS-level claim.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As noted in Scope, 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Statistical evidence is exploratory (Kruskal-Wallis on rates p = .025)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and whether null write-ups invite different hedging choices, controlling for the entanglement of outcome type and discipline in this sample.</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both"/>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rFonts w:ascii="Georgia" w:hAnsi="Georgia" w:cs="Georgia" w:eastAsia="Georgia"/>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hAnsi="Georgia" w:cs="Georgia" w:eastAsia="Georgia"/>
          <w:rtl w:val="0"/>
          <w:i/>
          <w:iCs/>
          <w:sz w:val="24"/>
          <w:szCs w:val="24"/>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hAnsi="Georgia" w:cs="Georgia" w:eastAsia="Georgia"/>
          <w:rtl w:val="0"/>
          <w:i/>
          <w:iCs/>
          <w:sz w:val="24"/>
          <w:szCs w:val="24"/>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hAnsi="Georgia" w:cs="Georgia" w:eastAsia="Georgia"/>
          <w:rtl w:val="0"/>
          <w:i/>
          <w:iCs/>
          <w:sz w:val="24"/>
          <w:szCs w:val="24"/>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hAnsi="Georgia" w:cs="Georgia" w:eastAsia="Georgia"/>
          <w:rtl w:val="0"/>
          <w:i/>
          <w:iCs/>
          <w:sz w:val="24"/>
          <w:szCs w:val="24"/>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hAnsi="Georgia" w:cs="Georgia" w:eastAsia="Georgia"/>
          <w:b w:val="0"/>
          <w:bCs w:val="0"/>
          <w:i w:val="0"/>
          <w:iCs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hAnsi="Georgia" w:cs="Georgia" w:eastAsia="Georgia"/>
          <w:b w:val="0"/>
          <w:bCs w:val="0"/>
          <w:i w:val="0"/>
          <w:iCs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[R]. This study is essential for getting insights into eco-brick manufacture because the workability of SUPs and UCOs as raw materials is proven. The research findings do not apply to buildings [G]. Therefore (DO), further research will (FP-Gen) aid in underlining the importance of optimizing the ingredient ratios to acquire desirable quality eco-bricks for sustainable construction applications.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00b0f0" w:val="clear"/>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[R]. There were variations in the mean antibody titer measured among samples.</w:t>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indicated (FP-Gen) that knowledge significantly predicted self-assessed awareness, while personal experience did not. The findings highlight critical knowledge gaps and underscore the need for targeted educational interventions using accessible media such as social platforms.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potential (EC) of butterfly pea flower aqueous extract in improving the survival of zebrafish at its larval stage.</w:t>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indicating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potential (EC) as effective, low-cost, and sustainable soil amendments for ornamental and horticultural cultivation, offering practical options for growers seeking eco-friendly methods to improve plant performance.</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